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70FBA">
      <w:pPr>
        <w:widowControl w:val="0"/>
        <w:kinsoku/>
        <w:autoSpaceDE/>
        <w:autoSpaceDN/>
        <w:adjustRightInd/>
        <w:snapToGrid/>
        <w:spacing w:before="30" w:line="560" w:lineRule="atLeast"/>
        <w:jc w:val="both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  <w:lang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napToGrid/>
          <w:spacing w:val="0"/>
          <w:sz w:val="32"/>
          <w:szCs w:val="32"/>
          <w:lang w:eastAsia="zh-CN" w:bidi="ar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sz w:val="32"/>
          <w:szCs w:val="32"/>
          <w:lang w:eastAsia="zh-CN" w:bidi="ar"/>
        </w:rPr>
        <w:t>1</w:t>
      </w:r>
    </w:p>
    <w:p w14:paraId="3650763C">
      <w:pPr>
        <w:spacing w:line="349" w:lineRule="auto"/>
        <w:rPr>
          <w:lang w:eastAsia="zh-CN"/>
        </w:rPr>
      </w:pPr>
    </w:p>
    <w:p w14:paraId="69229F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56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spacing w:val="0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湖南省第九届高校公共管理案例大赛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湖南科技大学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选拔赛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spacing w:val="0"/>
          <w:kern w:val="2"/>
          <w:sz w:val="44"/>
          <w:szCs w:val="44"/>
          <w:lang w:eastAsia="zh-CN"/>
        </w:rPr>
        <w:t>参赛案例基本结构及排版要求</w:t>
      </w:r>
    </w:p>
    <w:p w14:paraId="7DDFE8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560" w:lineRule="exact"/>
        <w:ind w:left="0"/>
        <w:jc w:val="both"/>
        <w:textAlignment w:val="baseline"/>
        <w:rPr>
          <w:rFonts w:hint="eastAsia" w:ascii="方正小标宋_GBK" w:hAnsi="方正小标宋_GBK" w:eastAsia="方正小标宋_GBK" w:cs="方正小标宋_GBK"/>
          <w:color w:val="000000" w:themeColor="text1"/>
          <w:spacing w:val="-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1110C37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firstLine="624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参赛案例基本结构</w:t>
      </w:r>
    </w:p>
    <w:p w14:paraId="0391372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一个完整的案例应由两个部分组成：案例正文和案例分析报告，两个部分分别设置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目录。</w:t>
      </w:r>
    </w:p>
    <w:p w14:paraId="74FCEB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23" w:firstLineChars="200"/>
        <w:jc w:val="both"/>
        <w:textAlignment w:val="baseline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（一）案例正文</w:t>
      </w:r>
    </w:p>
    <w:p w14:paraId="25F084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"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案例正文一般应包括：标题、案例摘要、引言、正文、结束语、附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录、脚注和图表、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字数标记等</w:t>
      </w:r>
      <w:r>
        <w:rPr>
          <w:rFonts w:hint="default" w:ascii="Times New Roman" w:hAnsi="Times New Roman" w:eastAsia="仿宋_GB2312" w:cs="Times New Roman"/>
          <w:snapToGrid/>
          <w:color w:val="333333"/>
          <w:spacing w:val="0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个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部分。案例正文不超过</w:t>
      </w:r>
      <w:r>
        <w:rPr>
          <w:rFonts w:hint="eastAsia" w:ascii="Times New Roman" w:hAnsi="Times New Roman" w:eastAsia="仿宋_GB2312" w:cs="Times New Roman"/>
          <w:snapToGrid/>
          <w:color w:val="333333"/>
          <w:spacing w:val="0"/>
          <w:sz w:val="32"/>
          <w:szCs w:val="32"/>
          <w:lang w:eastAsia="zh-CN"/>
        </w:rPr>
        <w:t>15000</w:t>
      </w: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字，图片、脚注、尾注及附录等内容不计入正文字数，正文字数超过</w:t>
      </w:r>
      <w:r>
        <w:rPr>
          <w:rFonts w:hint="eastAsia" w:ascii="Times New Roman" w:hAnsi="Times New Roman" w:eastAsia="仿宋_GB2312" w:cs="Times New Roman"/>
          <w:snapToGrid/>
          <w:color w:val="333333"/>
          <w:spacing w:val="0"/>
          <w:sz w:val="32"/>
          <w:szCs w:val="32"/>
          <w:lang w:eastAsia="zh-CN"/>
        </w:rPr>
        <w:t>15000</w:t>
      </w: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字者不能通过文本检查。</w:t>
      </w:r>
    </w:p>
    <w:p w14:paraId="172383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333333"/>
          <w:spacing w:val="0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333333"/>
          <w:spacing w:val="0"/>
          <w:sz w:val="32"/>
          <w:szCs w:val="32"/>
          <w:lang w:eastAsia="zh-CN"/>
        </w:rPr>
        <w:t>标题：</w:t>
      </w: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标题是案例的题目。</w:t>
      </w:r>
    </w:p>
    <w:p w14:paraId="487181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333333"/>
          <w:spacing w:val="0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333333"/>
          <w:spacing w:val="0"/>
          <w:sz w:val="32"/>
          <w:szCs w:val="32"/>
          <w:lang w:eastAsia="zh-CN"/>
        </w:rPr>
        <w:t>案例摘要和关键词：</w:t>
      </w: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简要介绍案例事件的主旨大意或梗概，便于阅读者快速了解和把握案例的主题，分为中文摘要和英文摘要，建议各</w:t>
      </w:r>
      <w:r>
        <w:rPr>
          <w:rFonts w:hint="eastAsia" w:ascii="Times New Roman" w:hAnsi="Times New Roman" w:eastAsia="仿宋_GB2312" w:cs="Times New Roman"/>
          <w:snapToGrid/>
          <w:color w:val="333333"/>
          <w:spacing w:val="0"/>
          <w:sz w:val="32"/>
          <w:szCs w:val="32"/>
          <w:lang w:eastAsia="zh-CN"/>
        </w:rPr>
        <w:t>400</w:t>
      </w: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字（词）以内。关键词各</w:t>
      </w:r>
      <w:r>
        <w:rPr>
          <w:rFonts w:hint="eastAsia" w:ascii="Times New Roman" w:hAnsi="Times New Roman" w:eastAsia="仿宋_GB2312" w:cs="Times New Roman"/>
          <w:snapToGrid/>
          <w:color w:val="333333"/>
          <w:spacing w:val="0"/>
          <w:sz w:val="32"/>
          <w:szCs w:val="32"/>
          <w:lang w:eastAsia="zh-CN"/>
        </w:rPr>
        <w:t>3-5</w:t>
      </w: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个。英文摘要和关键词置于中文摘要和关键词之后，另起一页。</w:t>
      </w:r>
    </w:p>
    <w:p w14:paraId="459186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333333"/>
          <w:spacing w:val="0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333333"/>
          <w:spacing w:val="0"/>
          <w:sz w:val="32"/>
          <w:szCs w:val="32"/>
          <w:lang w:eastAsia="zh-CN"/>
        </w:rPr>
        <w:t>引言：</w:t>
      </w: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即案例事件的引子。</w:t>
      </w:r>
    </w:p>
    <w:p w14:paraId="7AD0D3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333333"/>
          <w:spacing w:val="0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333333"/>
          <w:spacing w:val="0"/>
          <w:sz w:val="32"/>
          <w:szCs w:val="32"/>
          <w:lang w:eastAsia="zh-CN"/>
        </w:rPr>
        <w:t>正文：</w:t>
      </w: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案例一定要基于真实事件，且要有比较完整的事件，有核心人物或决策者，有起、承、转、合，要能够把事件延伸下去。</w:t>
      </w:r>
    </w:p>
    <w:p w14:paraId="383D7F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right="76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“起”是事件的开始，推出由时间、地点、起因等要素构成的场景，介绍核心人物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或决策者、主要角色和其他角色；</w:t>
      </w:r>
    </w:p>
    <w:p w14:paraId="2A4798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“承”是推出关键事件，引出争端、问题和兴奋点；</w:t>
      </w:r>
    </w:p>
    <w:p w14:paraId="17C0FF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right="76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“转”是事件的进一步展开，罗列存在的种种困惑，描述进退两难的抉择困境；要不断深入拓展令核心人物或决策者感到迷惑或难以决断的事情，或展开当事人也无法把 握和预料事件结局的事件；</w:t>
      </w:r>
    </w:p>
    <w:p w14:paraId="622046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" w:right="76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“合”是事件的高潮，突出决策点的机会与制约因素，核心人物或决策者到了不得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不进行选择的时刻。</w:t>
      </w:r>
    </w:p>
    <w:p w14:paraId="0B4E25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333333"/>
          <w:spacing w:val="0"/>
          <w:sz w:val="32"/>
          <w:szCs w:val="32"/>
          <w:lang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333333"/>
          <w:spacing w:val="0"/>
          <w:sz w:val="32"/>
          <w:szCs w:val="32"/>
          <w:lang w:eastAsia="zh-CN"/>
        </w:rPr>
        <w:t>结束语：</w:t>
      </w: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可以是对正文的精辟总结，也可以是提出决策问题的几种可能性，引发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读者思考，为案例分析留出空间。</w:t>
      </w:r>
    </w:p>
    <w:p w14:paraId="06BB23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333333"/>
          <w:spacing w:val="0"/>
          <w:sz w:val="32"/>
          <w:szCs w:val="32"/>
          <w:lang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333333"/>
          <w:spacing w:val="0"/>
          <w:sz w:val="32"/>
          <w:szCs w:val="32"/>
          <w:lang w:eastAsia="zh-CN"/>
        </w:rPr>
        <w:t>附录：</w:t>
      </w:r>
      <w:r>
        <w:rPr>
          <w:rFonts w:hint="eastAsia" w:ascii="仿宋_GB2312" w:hAnsi="仿宋_GB2312" w:eastAsia="仿宋_GB2312" w:cs="仿宋_GB2312"/>
          <w:snapToGrid/>
          <w:color w:val="333333"/>
          <w:spacing w:val="0"/>
          <w:sz w:val="32"/>
          <w:szCs w:val="32"/>
          <w:lang w:eastAsia="zh-CN"/>
        </w:rPr>
        <w:t>提供进行案例分析所需要的额外信息，主要包括一些不宜放在案例正文，但又有助于读者全面了解或理解正文的资料、信息，但不得以任何形式出现参赛团队及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所属院校等信息。附录应凝炼聚焦，剔除无关信息。为便于评选，附录应放在案例分析报告之后。</w:t>
      </w:r>
    </w:p>
    <w:p w14:paraId="23B255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333333"/>
          <w:sz w:val="32"/>
          <w:szCs w:val="32"/>
          <w:lang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333333"/>
          <w:sz w:val="32"/>
          <w:szCs w:val="32"/>
          <w:lang w:eastAsia="zh-CN"/>
        </w:rPr>
        <w:t>脚注和图表：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脚注以小号字附于有关内容同页的下端，以横线与正文断开；图表可插置到正文相关位置，也可以布置在专页或篇尾，所有的图表都应编号，设标题，并有必要的说明。</w:t>
      </w:r>
    </w:p>
    <w:p w14:paraId="2F8A50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333333"/>
          <w:sz w:val="32"/>
          <w:szCs w:val="32"/>
          <w:lang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333333"/>
          <w:sz w:val="32"/>
          <w:szCs w:val="32"/>
          <w:lang w:eastAsia="zh-CN"/>
        </w:rPr>
        <w:t>字数标记：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记应置于案例正文部分末尾右下角。格式一般为“案例正文字数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snapToGrid/>
          <w:color w:val="333333"/>
          <w:sz w:val="32"/>
          <w:szCs w:val="32"/>
          <w:lang w:eastAsia="zh-CN"/>
        </w:rPr>
        <w:t>13568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”。</w:t>
      </w:r>
    </w:p>
    <w:p w14:paraId="40838E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（二）案例分析报告</w:t>
      </w:r>
    </w:p>
    <w:p w14:paraId="1FA1CF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案例分析报告置于案例正文之后，另起一页，存在同一文档内。</w:t>
      </w:r>
    </w:p>
    <w:p w14:paraId="05BE41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案例分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析报告一般应包括：理论基础、案例分析、对策建议、结束语、参考文献、字数标记等</w:t>
      </w:r>
      <w:r>
        <w:rPr>
          <w:rFonts w:hint="eastAsia" w:ascii="Times New Roman" w:hAnsi="Times New Roman" w:eastAsia="仿宋_GB2312" w:cs="Times New Roman"/>
          <w:snapToGrid/>
          <w:color w:val="333333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个部分。案例分析报告不超过</w:t>
      </w:r>
      <w:r>
        <w:rPr>
          <w:rFonts w:hint="eastAsia" w:ascii="Times New Roman" w:hAnsi="Times New Roman" w:eastAsia="仿宋_GB2312" w:cs="Times New Roman"/>
          <w:snapToGrid/>
          <w:color w:val="333333"/>
          <w:sz w:val="32"/>
          <w:szCs w:val="32"/>
          <w:lang w:eastAsia="zh-CN"/>
        </w:rPr>
        <w:t>15000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字，图片、脚注、尾注及附录等内容不计入正文字数，分析报告正文字数超过</w:t>
      </w:r>
      <w:r>
        <w:rPr>
          <w:rFonts w:hint="eastAsia" w:ascii="Times New Roman" w:hAnsi="Times New Roman" w:eastAsia="仿宋_GB2312" w:cs="Times New Roman"/>
          <w:snapToGrid/>
          <w:color w:val="333333"/>
          <w:sz w:val="32"/>
          <w:szCs w:val="32"/>
          <w:lang w:eastAsia="zh-CN"/>
        </w:rPr>
        <w:t>15000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字者不能通过文本检查。</w:t>
      </w:r>
    </w:p>
    <w:p w14:paraId="298A3F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333333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333333"/>
          <w:sz w:val="32"/>
          <w:szCs w:val="32"/>
          <w:lang w:eastAsia="zh-CN"/>
        </w:rPr>
        <w:t>理论基础：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使用的公共管理相关理论，并阐述分析框架。</w:t>
      </w:r>
    </w:p>
    <w:p w14:paraId="6597E5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333333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333333"/>
          <w:sz w:val="32"/>
          <w:szCs w:val="32"/>
          <w:lang w:eastAsia="zh-CN"/>
        </w:rPr>
        <w:t>案例分析：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这部分是案例分析报告的核心部分，也是案例分析报告的难点，需要精心构思和安排。这部分需要对案例相关背景和决策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要素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进行分析，将精心设计、埋藏在案例正文中的问题及成因逐一挖出并展开深入分析。这部分很大程度上决定了该案例是否有理论深度、是否有思考分析的空间、是否能引起争论、是否能达到良好的效果。</w:t>
      </w:r>
    </w:p>
    <w:p w14:paraId="36CC35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333333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333333"/>
          <w:sz w:val="32"/>
          <w:szCs w:val="32"/>
          <w:lang w:eastAsia="zh-CN"/>
        </w:rPr>
        <w:t>对策建议：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这部分同样是案例分析报告的核心部分，与上一部分共同构成案例分析报告的难点。这部分需要针对案例分析中的相关问题、困境或争议等提出具有可行性和创新性的解决思路或方案。</w:t>
      </w:r>
    </w:p>
    <w:p w14:paraId="26F481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333333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333333"/>
          <w:sz w:val="32"/>
          <w:szCs w:val="32"/>
          <w:lang w:eastAsia="zh-CN"/>
        </w:rPr>
        <w:t>结束语：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对案例分析报告进行精辟总结，引发读者思考。</w:t>
      </w:r>
    </w:p>
    <w:p w14:paraId="638D0C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333333"/>
          <w:sz w:val="32"/>
          <w:szCs w:val="32"/>
          <w:lang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333333"/>
          <w:sz w:val="32"/>
          <w:szCs w:val="32"/>
          <w:lang w:eastAsia="zh-CN"/>
        </w:rPr>
        <w:t>参考文献：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将案例分析报告中所有引用的相关文献信息资源专著、论文集、报纸 文章、期刊文章、学位论文、报告、标准、专利、论文集中的析出文献等）按照标准格式列于文末。</w:t>
      </w:r>
    </w:p>
    <w:p w14:paraId="1EC44B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333333"/>
          <w:sz w:val="32"/>
          <w:szCs w:val="32"/>
          <w:lang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333333"/>
          <w:sz w:val="32"/>
          <w:szCs w:val="32"/>
          <w:lang w:eastAsia="zh-CN"/>
        </w:rPr>
        <w:t>字数标记：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字数标记应置于案例正文部分末尾右下角。格式一般为“分析报告字数：</w:t>
      </w:r>
      <w:r>
        <w:rPr>
          <w:rFonts w:hint="eastAsia" w:ascii="Times New Roman" w:hAnsi="Times New Roman" w:eastAsia="仿宋_GB2312" w:cs="Times New Roman"/>
          <w:snapToGrid/>
          <w:color w:val="333333"/>
          <w:sz w:val="32"/>
          <w:szCs w:val="32"/>
          <w:lang w:eastAsia="zh-CN"/>
        </w:rPr>
        <w:t>13568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字”。注：案例分析报告不应包含案例教学使用说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明。</w:t>
      </w:r>
    </w:p>
    <w:p w14:paraId="565F7E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二、排版要求</w:t>
      </w:r>
    </w:p>
    <w:p w14:paraId="564553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案例正文和案例分析报告两部分分开排版。</w:t>
      </w:r>
    </w:p>
    <w:p w14:paraId="69FA59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（一）案例正文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（幼圆、加粗、小三）</w:t>
      </w:r>
    </w:p>
    <w:p w14:paraId="050EAC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案例名称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（幼圆、三号、加粗、居中）</w:t>
      </w:r>
    </w:p>
    <w:p w14:paraId="719410B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color w:val="333333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文摘要和关键词内容全部采用宋体、小四排版，其中“摘要”和“关键词”加粗。</w:t>
      </w:r>
    </w:p>
    <w:p w14:paraId="73EB16C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例：摘要：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本案例描述了……（宋体、小四）</w:t>
      </w:r>
    </w:p>
    <w:p w14:paraId="3A22633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285" w:firstLineChars="4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关键词：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组织结构、战略 规划、案例研究（宋体、小四）英文摘要和关键词内容全部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采用</w:t>
      </w:r>
      <w:r>
        <w:rPr>
          <w:rFonts w:hint="default" w:ascii="Times New Roman" w:hAnsi="Times New Roman" w:eastAsia="仿宋_GB2312" w:cs="Times New Roman"/>
          <w:snapToGrid/>
          <w:color w:val="333333"/>
          <w:sz w:val="32"/>
          <w:szCs w:val="32"/>
          <w:lang w:eastAsia="zh-CN"/>
        </w:rPr>
        <w:t>TimesNewRoman</w:t>
      </w:r>
      <w:r>
        <w:rPr>
          <w:rFonts w:hint="eastAsia" w:ascii="仿宋_GB2312" w:hAnsi="仿宋_GB2312" w:eastAsia="仿宋_GB2312" w:cs="仿宋_GB2312"/>
          <w:snapToGrid/>
          <w:color w:val="333333"/>
          <w:sz w:val="32"/>
          <w:szCs w:val="32"/>
          <w:lang w:eastAsia="zh-CN"/>
        </w:rPr>
        <w:t>字体、小四排版。</w:t>
      </w:r>
    </w:p>
    <w:p w14:paraId="32B03CD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color w:val="333333"/>
          <w:sz w:val="32"/>
          <w:szCs w:val="32"/>
          <w:lang w:eastAsia="zh-CN"/>
        </w:rPr>
        <w:t>2．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正文另起一页撰写，正文一级标题采用宋体、加粗、四号、半角；二级标题采 用宋体、加粗、小四、半角；三级标题采用宋体、小四、半角。各级标题采用阿拉伯数字编号（如：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3．；… , 1.1；1.2；1.3；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)。</w:t>
      </w:r>
    </w:p>
    <w:p w14:paraId="7621677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color w:val="333333"/>
          <w:sz w:val="32"/>
          <w:szCs w:val="32"/>
          <w:lang w:eastAsia="zh-CN"/>
        </w:rPr>
        <w:t>3．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全文段前与段后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0.25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行、多倍行距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，全文为宋体、小四。</w:t>
      </w:r>
    </w:p>
    <w:p w14:paraId="0C1354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（二）案例分析报告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（幼圆、加粗、小三）</w:t>
      </w:r>
    </w:p>
    <w:p w14:paraId="272AE4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案例名称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（幼圆、三号、加粗、居中）</w:t>
      </w:r>
    </w:p>
    <w:p w14:paraId="286EAF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各节标题采用宋体、加粗、四号、半角，各节标题编号用中文数字（如一、；二、；三、；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1．2．3．；（1）（2）（3）…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)。</w:t>
      </w:r>
    </w:p>
    <w:p w14:paraId="1862FF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所有节之间增加一行空格（空格键、小四）。</w:t>
      </w:r>
    </w:p>
    <w:p w14:paraId="4659A4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全文段前与段后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0.25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行、多倍行距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，全文为宋体、小四。</w:t>
      </w:r>
    </w:p>
    <w:p w14:paraId="47D417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三、实地调研</w:t>
      </w:r>
    </w:p>
    <w:p w14:paraId="67EAE8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参赛团队围绕选题进行实地调研，通过调查访谈，系统地收集一手资料，详细了解有关事件的发展过程、相关政策的制定和执行情况，剖析案例涉及的相关主体及利益诉求，为案例正文和分析报告撰写奠定基础。</w:t>
      </w:r>
    </w:p>
    <w:p w14:paraId="442135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黑体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黑体" w:cs="仿宋_GB2312"/>
          <w:sz w:val="32"/>
          <w:szCs w:val="32"/>
          <w:highlight w:val="none"/>
          <w:lang w:eastAsia="zh-CN"/>
        </w:rPr>
        <w:t>四、其他赛事案例参赛要求</w:t>
      </w:r>
    </w:p>
    <w:p w14:paraId="4AF5AA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参加过其他类型的案例比赛的案例，如未被公开相关信息（通过互联网无法检索到该案例或团队的参赛院校、指导教师、团队成员等，不会影响双向匿名评选的工作安排），可以参加本次大赛。否则不允许参赛。</w:t>
      </w:r>
    </w:p>
    <w:sectPr>
      <w:headerReference r:id="rId3" w:type="default"/>
      <w:pgSz w:w="11906" w:h="16839"/>
      <w:pgMar w:top="1701" w:right="1474" w:bottom="1587" w:left="1587" w:header="850" w:footer="1191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CC005">
    <w:pPr>
      <w:pStyle w:val="4"/>
    </w:pPr>
  </w:p>
  <w:p w14:paraId="248CA43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AE5C01"/>
    <w:rsid w:val="000F762B"/>
    <w:rsid w:val="001C5DF2"/>
    <w:rsid w:val="002C094F"/>
    <w:rsid w:val="0033561C"/>
    <w:rsid w:val="00A40483"/>
    <w:rsid w:val="00AE5C01"/>
    <w:rsid w:val="00CA6A5E"/>
    <w:rsid w:val="00CF6F87"/>
    <w:rsid w:val="00F23126"/>
    <w:rsid w:val="02802894"/>
    <w:rsid w:val="03011CEA"/>
    <w:rsid w:val="0D3F0613"/>
    <w:rsid w:val="0D475C51"/>
    <w:rsid w:val="105F05EB"/>
    <w:rsid w:val="15167F14"/>
    <w:rsid w:val="153C6A85"/>
    <w:rsid w:val="162B2D81"/>
    <w:rsid w:val="1A4A39F2"/>
    <w:rsid w:val="24433237"/>
    <w:rsid w:val="27337CE7"/>
    <w:rsid w:val="31A74462"/>
    <w:rsid w:val="3A961455"/>
    <w:rsid w:val="41D97316"/>
    <w:rsid w:val="44FE14DD"/>
    <w:rsid w:val="4E3C4E24"/>
    <w:rsid w:val="4FEF5A75"/>
    <w:rsid w:val="52341AEE"/>
    <w:rsid w:val="54F4412C"/>
    <w:rsid w:val="60B85EAB"/>
    <w:rsid w:val="67A535E2"/>
    <w:rsid w:val="6DC347C2"/>
    <w:rsid w:val="6ECD58F9"/>
    <w:rsid w:val="72FC1242"/>
    <w:rsid w:val="7E6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2093</Words>
  <Characters>2166</Characters>
  <Lines>47</Lines>
  <Paragraphs>48</Paragraphs>
  <TotalTime>9</TotalTime>
  <ScaleCrop>false</ScaleCrop>
  <LinksUpToDate>false</LinksUpToDate>
  <CharactersWithSpaces>2187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2024-09-10T16:59:00Z</dcterms:created>
  <dc:creator>Administrator</dc:creator>
  <cp:lastModifiedBy>李薇</cp:lastModifiedBy>
  <dcterms:modified xsi:type="dcterms:W3CDTF">2026-07-19T12:50:10Z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2025-06-16T14:58:13Z</vt:filetime>
  </property>
  <property fmtid="{D5CDD505-2E9C-101B-9397-08002B2CF9AE}" pid="4" name="KSOTemplateDocerSaveRecord">
    <vt:lpwstr>eyJoZGlkIjoiMjA2MDliOGVjZTdkYzZmYzE0NGY4ODkzMjM1MmVkNGQiLCJ1c2VySWQiOiI2Nzk0Mjk1NzIifQ==</vt:lpwstr>
  </property>
  <property fmtid="{D5CDD505-2E9C-101B-9397-08002B2CF9AE}" pid="5" name="KSOProductBuildVer">
    <vt:lpwstr>2052-12.1.0.26895</vt:lpwstr>
  </property>
  <property fmtid="{D5CDD505-2E9C-101B-9397-08002B2CF9AE}" pid="6" name="ICV">
    <vt:lpwstr>388E9F6AC4E4445FB6AA0A5A893A4CBA_13</vt:lpwstr>
  </property>
</Properties>
</file>