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3371" w14:textId="77777777" w:rsidR="00140C3C" w:rsidRDefault="00140C3C" w:rsidP="00140C3C">
      <w:pPr>
        <w:spacing w:line="580" w:lineRule="exact"/>
        <w:jc w:val="center"/>
        <w:rPr>
          <w:rFonts w:ascii="黑体" w:eastAsia="黑体" w:hAnsi="黑体" w:hint="eastAsia"/>
          <w:kern w:val="0"/>
          <w:szCs w:val="32"/>
        </w:rPr>
      </w:pPr>
      <w:r w:rsidRPr="001744F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第六届湖南省研究生电子设计大赛方案</w:t>
      </w:r>
    </w:p>
    <w:p w14:paraId="2EFA1C91" w14:textId="77777777" w:rsidR="00140C3C" w:rsidRDefault="00140C3C" w:rsidP="00140C3C">
      <w:pPr>
        <w:spacing w:line="580" w:lineRule="exact"/>
        <w:ind w:firstLineChars="200" w:firstLine="64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一</w:t>
      </w:r>
      <w:r>
        <w:rPr>
          <w:rFonts w:ascii="黑体" w:eastAsia="黑体" w:hAnsi="黑体"/>
          <w:kern w:val="0"/>
          <w:szCs w:val="32"/>
        </w:rPr>
        <w:t>、命题说明</w:t>
      </w:r>
    </w:p>
    <w:p w14:paraId="4C26A816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1. </w:t>
      </w:r>
      <w:r>
        <w:rPr>
          <w:rFonts w:eastAsia="仿宋_gb2312"/>
          <w:kern w:val="0"/>
          <w:szCs w:val="32"/>
        </w:rPr>
        <w:t>命题方式：竞赛采用开放式命题与企业命题相结合的方式进行。</w:t>
      </w:r>
    </w:p>
    <w:p w14:paraId="020B43CA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2. </w:t>
      </w:r>
      <w:r>
        <w:rPr>
          <w:rFonts w:eastAsia="仿宋_gb2312"/>
          <w:kern w:val="0"/>
          <w:szCs w:val="32"/>
        </w:rPr>
        <w:t>开放式命题范围包括信号与信息处理、通信技术与系统、电子电路与系统、物理电子、网络与计算机、集成电路设计、微波工程、机电一体化、图像多媒体、软件工程等领域</w:t>
      </w:r>
      <w:r>
        <w:rPr>
          <w:rFonts w:eastAsia="仿宋_gb2312" w:hint="eastAsia"/>
          <w:kern w:val="0"/>
          <w:szCs w:val="32"/>
        </w:rPr>
        <w:t>，题目自拟</w:t>
      </w:r>
      <w:r>
        <w:rPr>
          <w:rFonts w:eastAsia="仿宋_gb2312"/>
          <w:kern w:val="0"/>
          <w:szCs w:val="32"/>
        </w:rPr>
        <w:t>。</w:t>
      </w:r>
    </w:p>
    <w:p w14:paraId="0534502A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3. </w:t>
      </w:r>
      <w:r>
        <w:rPr>
          <w:rFonts w:eastAsia="仿宋_gb2312"/>
          <w:kern w:val="0"/>
          <w:szCs w:val="32"/>
        </w:rPr>
        <w:t>企业命题包括国内外涉及电子信息领域的命题</w:t>
      </w:r>
      <w:r>
        <w:rPr>
          <w:rFonts w:eastAsia="仿宋_gb2312" w:hint="eastAsia"/>
          <w:kern w:val="0"/>
          <w:szCs w:val="32"/>
        </w:rPr>
        <w:t>。</w:t>
      </w:r>
    </w:p>
    <w:p w14:paraId="42F3FC14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4. </w:t>
      </w:r>
      <w:r>
        <w:rPr>
          <w:rFonts w:eastAsia="仿宋_gb2312"/>
          <w:kern w:val="0"/>
          <w:szCs w:val="32"/>
        </w:rPr>
        <w:t>具体命题信息将于</w:t>
      </w:r>
      <w:r>
        <w:rPr>
          <w:rFonts w:eastAsia="仿宋_gb2312"/>
          <w:kern w:val="0"/>
          <w:szCs w:val="32"/>
        </w:rPr>
        <w:t>9</w:t>
      </w:r>
      <w:r>
        <w:rPr>
          <w:rFonts w:eastAsia="仿宋_gb2312"/>
          <w:kern w:val="0"/>
          <w:szCs w:val="32"/>
        </w:rPr>
        <w:t>月初在竞赛承办单位网站</w:t>
      </w:r>
      <w:r>
        <w:rPr>
          <w:rFonts w:eastAsia="仿宋_gb2312" w:hint="eastAsia"/>
          <w:kern w:val="0"/>
          <w:szCs w:val="32"/>
        </w:rPr>
        <w:t>上公布</w:t>
      </w:r>
      <w:r>
        <w:rPr>
          <w:rFonts w:eastAsia="仿宋_gb2312"/>
          <w:kern w:val="0"/>
          <w:szCs w:val="32"/>
        </w:rPr>
        <w:t>，网址：</w:t>
      </w:r>
      <w:r>
        <w:rPr>
          <w:rFonts w:eastAsia="仿宋_gb2312" w:hint="eastAsia"/>
          <w:kern w:val="0"/>
          <w:szCs w:val="32"/>
        </w:rPr>
        <w:t>https://www.csust.edu.cn/dq/index.htm</w:t>
      </w:r>
      <w:r>
        <w:rPr>
          <w:rFonts w:eastAsia="仿宋_gb2312"/>
          <w:kern w:val="0"/>
          <w:szCs w:val="32"/>
        </w:rPr>
        <w:t>。</w:t>
      </w:r>
    </w:p>
    <w:p w14:paraId="251A6B2B" w14:textId="77777777" w:rsidR="00140C3C" w:rsidRDefault="00140C3C" w:rsidP="00140C3C">
      <w:pPr>
        <w:spacing w:line="580" w:lineRule="exact"/>
        <w:ind w:firstLineChars="200" w:firstLine="64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二</w:t>
      </w:r>
      <w:r>
        <w:rPr>
          <w:rFonts w:ascii="黑体" w:eastAsia="黑体" w:hAnsi="黑体"/>
          <w:kern w:val="0"/>
          <w:szCs w:val="32"/>
        </w:rPr>
        <w:t>、参赛作品要求</w:t>
      </w:r>
    </w:p>
    <w:p w14:paraId="018E07FF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1. </w:t>
      </w:r>
      <w:r>
        <w:rPr>
          <w:rFonts w:eastAsia="仿宋_gb2312"/>
          <w:kern w:val="0"/>
          <w:szCs w:val="32"/>
        </w:rPr>
        <w:t>参赛作品技术论文</w:t>
      </w:r>
    </w:p>
    <w:p w14:paraId="40D57E07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技术论文</w:t>
      </w:r>
      <w:r>
        <w:rPr>
          <w:rFonts w:eastAsia="仿宋_gb2312" w:hint="eastAsia"/>
          <w:kern w:val="0"/>
          <w:szCs w:val="32"/>
        </w:rPr>
        <w:t>原则上应</w:t>
      </w:r>
      <w:r>
        <w:rPr>
          <w:rFonts w:eastAsia="仿宋_gb2312"/>
          <w:kern w:val="0"/>
          <w:szCs w:val="32"/>
        </w:rPr>
        <w:t>包括以下内容：</w:t>
      </w:r>
      <w:r>
        <w:rPr>
          <w:rFonts w:eastAsia="仿宋_gb2312" w:hint="eastAsia"/>
          <w:kern w:val="0"/>
          <w:szCs w:val="32"/>
        </w:rPr>
        <w:t>(</w:t>
      </w:r>
      <w:r>
        <w:rPr>
          <w:rFonts w:eastAsia="仿宋_gb2312"/>
          <w:kern w:val="0"/>
          <w:szCs w:val="32"/>
        </w:rPr>
        <w:t>1</w:t>
      </w:r>
      <w:r>
        <w:rPr>
          <w:rFonts w:eastAsia="仿宋_gb2312" w:hint="eastAsia"/>
          <w:kern w:val="0"/>
          <w:szCs w:val="32"/>
        </w:rPr>
        <w:t>)</w:t>
      </w:r>
      <w:r>
        <w:rPr>
          <w:rFonts w:eastAsia="仿宋_gb2312"/>
          <w:kern w:val="0"/>
          <w:szCs w:val="32"/>
        </w:rPr>
        <w:t>作品难点与创新；</w:t>
      </w:r>
      <w:r>
        <w:rPr>
          <w:rFonts w:eastAsia="仿宋_gb2312" w:hint="eastAsia"/>
          <w:kern w:val="0"/>
          <w:szCs w:val="32"/>
        </w:rPr>
        <w:t>(</w:t>
      </w:r>
      <w:r>
        <w:rPr>
          <w:rFonts w:eastAsia="仿宋_gb2312"/>
          <w:kern w:val="0"/>
          <w:szCs w:val="32"/>
        </w:rPr>
        <w:t>2</w:t>
      </w:r>
      <w:r>
        <w:rPr>
          <w:rFonts w:eastAsia="仿宋_gb2312" w:hint="eastAsia"/>
          <w:kern w:val="0"/>
          <w:szCs w:val="32"/>
        </w:rPr>
        <w:t>)</w:t>
      </w:r>
      <w:r>
        <w:rPr>
          <w:rFonts w:eastAsia="仿宋_gb2312"/>
          <w:kern w:val="0"/>
          <w:szCs w:val="32"/>
        </w:rPr>
        <w:t>方案论证与设计；</w:t>
      </w:r>
      <w:r>
        <w:rPr>
          <w:rFonts w:eastAsia="仿宋_gb2312" w:hint="eastAsia"/>
          <w:kern w:val="0"/>
          <w:szCs w:val="32"/>
        </w:rPr>
        <w:t>(</w:t>
      </w:r>
      <w:r>
        <w:rPr>
          <w:rFonts w:eastAsia="仿宋_gb2312"/>
          <w:kern w:val="0"/>
          <w:szCs w:val="32"/>
        </w:rPr>
        <w:t>3</w:t>
      </w:r>
      <w:r>
        <w:rPr>
          <w:rFonts w:eastAsia="仿宋_gb2312" w:hint="eastAsia"/>
          <w:kern w:val="0"/>
          <w:szCs w:val="32"/>
        </w:rPr>
        <w:t>)</w:t>
      </w:r>
      <w:r>
        <w:rPr>
          <w:rFonts w:eastAsia="仿宋_gb2312"/>
          <w:kern w:val="0"/>
          <w:szCs w:val="32"/>
        </w:rPr>
        <w:t>原理分析与硬件电路图；</w:t>
      </w:r>
      <w:r>
        <w:rPr>
          <w:rFonts w:eastAsia="仿宋_gb2312" w:hint="eastAsia"/>
          <w:kern w:val="0"/>
          <w:szCs w:val="32"/>
        </w:rPr>
        <w:t>(</w:t>
      </w:r>
      <w:r>
        <w:rPr>
          <w:rFonts w:eastAsia="仿宋_gb2312"/>
          <w:kern w:val="0"/>
          <w:szCs w:val="32"/>
        </w:rPr>
        <w:t>4</w:t>
      </w:r>
      <w:r>
        <w:rPr>
          <w:rFonts w:eastAsia="仿宋_gb2312" w:hint="eastAsia"/>
          <w:kern w:val="0"/>
          <w:szCs w:val="32"/>
        </w:rPr>
        <w:t>)</w:t>
      </w:r>
      <w:r>
        <w:rPr>
          <w:rFonts w:eastAsia="仿宋_gb2312"/>
          <w:kern w:val="0"/>
          <w:szCs w:val="32"/>
        </w:rPr>
        <w:t>软件设计与流程；</w:t>
      </w:r>
      <w:r>
        <w:rPr>
          <w:rFonts w:eastAsia="仿宋_gb2312" w:hint="eastAsia"/>
          <w:kern w:val="0"/>
          <w:szCs w:val="32"/>
        </w:rPr>
        <w:t>(</w:t>
      </w:r>
      <w:r>
        <w:rPr>
          <w:rFonts w:eastAsia="仿宋_gb2312"/>
          <w:kern w:val="0"/>
          <w:szCs w:val="32"/>
        </w:rPr>
        <w:t>5</w:t>
      </w:r>
      <w:r>
        <w:rPr>
          <w:rFonts w:eastAsia="仿宋_gb2312" w:hint="eastAsia"/>
          <w:kern w:val="0"/>
          <w:szCs w:val="32"/>
        </w:rPr>
        <w:t>)</w:t>
      </w:r>
      <w:r>
        <w:rPr>
          <w:rFonts w:eastAsia="仿宋_gb2312"/>
          <w:kern w:val="0"/>
          <w:szCs w:val="32"/>
        </w:rPr>
        <w:t>系统测试与误差分析；</w:t>
      </w:r>
      <w:r>
        <w:rPr>
          <w:rFonts w:eastAsia="仿宋_gb2312" w:hint="eastAsia"/>
          <w:kern w:val="0"/>
          <w:szCs w:val="32"/>
        </w:rPr>
        <w:t>(</w:t>
      </w:r>
      <w:r>
        <w:rPr>
          <w:rFonts w:eastAsia="仿宋_gb2312"/>
          <w:kern w:val="0"/>
          <w:szCs w:val="32"/>
        </w:rPr>
        <w:t>6</w:t>
      </w:r>
      <w:r>
        <w:rPr>
          <w:rFonts w:eastAsia="仿宋_gb2312" w:hint="eastAsia"/>
          <w:kern w:val="0"/>
          <w:szCs w:val="32"/>
        </w:rPr>
        <w:t>)</w:t>
      </w:r>
      <w:r>
        <w:rPr>
          <w:rFonts w:eastAsia="仿宋_gb2312"/>
          <w:kern w:val="0"/>
          <w:szCs w:val="32"/>
        </w:rPr>
        <w:t>作品总结。论文字数</w:t>
      </w:r>
      <w:r>
        <w:rPr>
          <w:rFonts w:eastAsia="仿宋_gb2312"/>
          <w:kern w:val="0"/>
          <w:szCs w:val="32"/>
        </w:rPr>
        <w:t>8000-10000</w:t>
      </w:r>
      <w:r>
        <w:rPr>
          <w:rFonts w:eastAsia="仿宋_gb2312"/>
          <w:kern w:val="0"/>
          <w:szCs w:val="32"/>
        </w:rPr>
        <w:t>字为宜，可不限于以上内容。</w:t>
      </w:r>
    </w:p>
    <w:p w14:paraId="5950BBD1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2. </w:t>
      </w:r>
      <w:r>
        <w:rPr>
          <w:rFonts w:eastAsia="仿宋_gb2312"/>
          <w:kern w:val="0"/>
          <w:szCs w:val="32"/>
        </w:rPr>
        <w:t>参赛作品演示视频</w:t>
      </w:r>
    </w:p>
    <w:p w14:paraId="09422E1A" w14:textId="77777777" w:rsidR="00140C3C" w:rsidRDefault="00140C3C" w:rsidP="00140C3C">
      <w:pPr>
        <w:spacing w:line="58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视频分辨率不小于</w:t>
      </w:r>
      <w:r>
        <w:rPr>
          <w:rFonts w:eastAsia="仿宋_gb2312"/>
          <w:kern w:val="0"/>
          <w:szCs w:val="32"/>
        </w:rPr>
        <w:t>640×480</w:t>
      </w:r>
      <w:r>
        <w:rPr>
          <w:rFonts w:eastAsia="仿宋_gb2312"/>
          <w:kern w:val="0"/>
          <w:szCs w:val="32"/>
        </w:rPr>
        <w:t>，时长不超过</w:t>
      </w:r>
      <w:r>
        <w:rPr>
          <w:rFonts w:eastAsia="仿宋_gb2312"/>
          <w:kern w:val="0"/>
          <w:szCs w:val="32"/>
        </w:rPr>
        <w:t>15</w:t>
      </w:r>
      <w:r>
        <w:rPr>
          <w:rFonts w:eastAsia="仿宋_gb2312"/>
          <w:kern w:val="0"/>
          <w:szCs w:val="32"/>
        </w:rPr>
        <w:t>分钟，格式为</w:t>
      </w:r>
      <w:proofErr w:type="spellStart"/>
      <w:r>
        <w:rPr>
          <w:rFonts w:eastAsia="仿宋_gb2312"/>
          <w:kern w:val="0"/>
          <w:szCs w:val="32"/>
        </w:rPr>
        <w:t>avi</w:t>
      </w:r>
      <w:proofErr w:type="spellEnd"/>
      <w:r>
        <w:rPr>
          <w:rFonts w:eastAsia="仿宋_gb2312"/>
          <w:kern w:val="0"/>
          <w:szCs w:val="32"/>
        </w:rPr>
        <w:t>、</w:t>
      </w:r>
      <w:r>
        <w:rPr>
          <w:rFonts w:eastAsia="仿宋_gb2312"/>
          <w:kern w:val="0"/>
          <w:szCs w:val="32"/>
        </w:rPr>
        <w:t>mp4</w:t>
      </w:r>
      <w:r>
        <w:rPr>
          <w:rFonts w:eastAsia="仿宋_gb2312"/>
          <w:kern w:val="0"/>
          <w:szCs w:val="32"/>
        </w:rPr>
        <w:t>、</w:t>
      </w:r>
      <w:proofErr w:type="spellStart"/>
      <w:r>
        <w:rPr>
          <w:rFonts w:eastAsia="仿宋_gb2312"/>
          <w:kern w:val="0"/>
          <w:szCs w:val="32"/>
        </w:rPr>
        <w:t>wmv</w:t>
      </w:r>
      <w:proofErr w:type="spellEnd"/>
      <w:r>
        <w:rPr>
          <w:rFonts w:eastAsia="仿宋_gb2312"/>
          <w:kern w:val="0"/>
          <w:szCs w:val="32"/>
        </w:rPr>
        <w:t>之一。视频内容包括作品原理及创新点、结构介绍、功能演示等三部分。出现在视频中的参赛队员</w:t>
      </w:r>
      <w:r>
        <w:rPr>
          <w:rFonts w:eastAsia="仿宋_gb2312" w:hint="eastAsia"/>
          <w:kern w:val="0"/>
          <w:szCs w:val="32"/>
        </w:rPr>
        <w:t>须</w:t>
      </w:r>
      <w:r>
        <w:rPr>
          <w:rFonts w:eastAsia="仿宋_gb2312"/>
          <w:kern w:val="0"/>
          <w:szCs w:val="32"/>
        </w:rPr>
        <w:t>穿着正装出镜，使用普通话讲解作品，配备字幕。</w:t>
      </w:r>
    </w:p>
    <w:p w14:paraId="4AEF4182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3. </w:t>
      </w:r>
      <w:r>
        <w:rPr>
          <w:rFonts w:eastAsia="仿宋_gb2312"/>
          <w:kern w:val="0"/>
          <w:szCs w:val="32"/>
        </w:rPr>
        <w:t>参赛作品宣传海报</w:t>
      </w:r>
    </w:p>
    <w:p w14:paraId="57B0FC8E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lastRenderedPageBreak/>
        <w:t>每件参赛作品须提供宣传海报电子稿一份，宣传海报内容、格式及尺寸将会在参赛联络</w:t>
      </w:r>
      <w:r>
        <w:rPr>
          <w:rFonts w:eastAsia="仿宋_gb2312"/>
          <w:kern w:val="0"/>
          <w:szCs w:val="32"/>
        </w:rPr>
        <w:t>QQ</w:t>
      </w:r>
      <w:r>
        <w:rPr>
          <w:rFonts w:eastAsia="仿宋_gb2312"/>
          <w:kern w:val="0"/>
          <w:szCs w:val="32"/>
        </w:rPr>
        <w:t>群中另行通知。</w:t>
      </w:r>
    </w:p>
    <w:p w14:paraId="3BD5B5BE" w14:textId="77777777" w:rsidR="00140C3C" w:rsidRDefault="00140C3C" w:rsidP="00140C3C">
      <w:pPr>
        <w:ind w:firstLineChars="200" w:firstLine="620"/>
        <w:jc w:val="left"/>
      </w:pPr>
      <w:r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  <w:t xml:space="preserve">三、竞赛方式 </w:t>
      </w:r>
    </w:p>
    <w:p w14:paraId="10AA11EB" w14:textId="77777777" w:rsidR="00140C3C" w:rsidRDefault="00140C3C" w:rsidP="00140C3C">
      <w:pPr>
        <w:ind w:firstLineChars="200" w:firstLine="620"/>
        <w:jc w:val="left"/>
      </w:pP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竞赛包括首轮评分</w:t>
      </w:r>
      <w:r>
        <w:rPr>
          <w:color w:val="000000"/>
          <w:kern w:val="0"/>
          <w:sz w:val="31"/>
          <w:szCs w:val="31"/>
          <w:lang w:bidi="ar"/>
        </w:rPr>
        <w:t>(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作品初评、现场展示</w:t>
      </w:r>
      <w:r>
        <w:rPr>
          <w:color w:val="000000"/>
          <w:kern w:val="0"/>
          <w:sz w:val="31"/>
          <w:szCs w:val="31"/>
          <w:lang w:bidi="ar"/>
        </w:rPr>
        <w:t>)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和第二轮评分</w:t>
      </w:r>
      <w:r>
        <w:rPr>
          <w:color w:val="000000"/>
          <w:kern w:val="0"/>
          <w:sz w:val="31"/>
          <w:szCs w:val="31"/>
          <w:lang w:bidi="ar"/>
        </w:rPr>
        <w:t>(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现场答辩</w:t>
      </w:r>
      <w:r>
        <w:rPr>
          <w:color w:val="000000"/>
          <w:kern w:val="0"/>
          <w:sz w:val="31"/>
          <w:szCs w:val="31"/>
          <w:lang w:bidi="ar"/>
        </w:rPr>
        <w:t>)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两个环节。原则上所有参赛队必须携带作品实物前往指定地点进行展示，如作品实在不便携带，可录制作品演示和解说视频带到现场播放，同时参赛队需要统一制作展板，对作品和参赛队伍进行简要介绍。专家委员会成员现场对所有展示作品评分，按照首轮评分分数排名，取前 </w:t>
      </w:r>
      <w:r>
        <w:rPr>
          <w:color w:val="000000"/>
          <w:kern w:val="0"/>
          <w:sz w:val="31"/>
          <w:szCs w:val="31"/>
          <w:lang w:bidi="ar"/>
        </w:rPr>
        <w:t>40%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优秀作品进入分组答辩环节。进入答辩环节的队伍通过抽签方式确定分组和答辩次序，每支参赛队答辩时间为 </w:t>
      </w:r>
      <w:r>
        <w:rPr>
          <w:color w:val="000000"/>
          <w:kern w:val="0"/>
          <w:sz w:val="31"/>
          <w:szCs w:val="31"/>
          <w:lang w:bidi="ar"/>
        </w:rPr>
        <w:t xml:space="preserve">15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分钟，包括 </w:t>
      </w:r>
      <w:r>
        <w:rPr>
          <w:color w:val="000000"/>
          <w:kern w:val="0"/>
          <w:sz w:val="31"/>
          <w:szCs w:val="31"/>
          <w:lang w:bidi="ar"/>
        </w:rPr>
        <w:t xml:space="preserve">10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 xml:space="preserve">分钟演讲和 </w:t>
      </w:r>
      <w:r>
        <w:rPr>
          <w:color w:val="000000"/>
          <w:kern w:val="0"/>
          <w:sz w:val="31"/>
          <w:szCs w:val="31"/>
          <w:lang w:bidi="ar"/>
        </w:rPr>
        <w:t xml:space="preserve">5 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分钟质询答疑。专家委员会员根据演讲和答疑情况给出答辩环节评分。</w:t>
      </w:r>
    </w:p>
    <w:p w14:paraId="677E1A51" w14:textId="77777777" w:rsidR="00140C3C" w:rsidRDefault="00140C3C" w:rsidP="00140C3C">
      <w:pPr>
        <w:spacing w:line="600" w:lineRule="exact"/>
        <w:ind w:firstLineChars="200" w:firstLine="64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四</w:t>
      </w:r>
      <w:r>
        <w:rPr>
          <w:rFonts w:ascii="黑体" w:eastAsia="黑体" w:hAnsi="黑体"/>
          <w:kern w:val="0"/>
          <w:szCs w:val="32"/>
        </w:rPr>
        <w:t>、评审办法</w:t>
      </w:r>
    </w:p>
    <w:p w14:paraId="6BC48D3C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竞赛分两个评审环节：作品评审和现场答辩评审。</w:t>
      </w:r>
    </w:p>
    <w:p w14:paraId="6E6B21A4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1. </w:t>
      </w:r>
      <w:r>
        <w:rPr>
          <w:rFonts w:eastAsia="仿宋_gb2312"/>
          <w:kern w:val="0"/>
          <w:szCs w:val="32"/>
        </w:rPr>
        <w:t>作品评审</w:t>
      </w:r>
    </w:p>
    <w:p w14:paraId="1EF691AF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>作品评审包含作品初评和作品展示两种方式：</w:t>
      </w:r>
    </w:p>
    <w:p w14:paraId="743F98D9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(1)</w:t>
      </w:r>
      <w:r>
        <w:rPr>
          <w:rFonts w:eastAsia="仿宋_gb2312"/>
          <w:kern w:val="0"/>
          <w:szCs w:val="32"/>
        </w:rPr>
        <w:t>作品初评：各参赛队在规定的时间内按要求向组委会提交参赛作品电子版，包括技术论文、作品演示视频和作品展示照片（提交时间和</w:t>
      </w:r>
      <w:proofErr w:type="gramStart"/>
      <w:r>
        <w:rPr>
          <w:rFonts w:eastAsia="仿宋_gb2312"/>
          <w:kern w:val="0"/>
          <w:szCs w:val="32"/>
        </w:rPr>
        <w:t>要</w:t>
      </w:r>
      <w:proofErr w:type="gramEnd"/>
      <w:r>
        <w:rPr>
          <w:rFonts w:eastAsia="仿宋_gb2312"/>
          <w:kern w:val="0"/>
          <w:szCs w:val="32"/>
        </w:rPr>
        <w:t>求见后），初评采用网络评审。</w:t>
      </w:r>
    </w:p>
    <w:p w14:paraId="46D7B877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 w:hint="eastAsia"/>
          <w:kern w:val="0"/>
          <w:szCs w:val="32"/>
        </w:rPr>
        <w:t>(2)</w:t>
      </w:r>
      <w:r>
        <w:rPr>
          <w:rFonts w:eastAsia="仿宋_gb2312"/>
          <w:kern w:val="0"/>
          <w:sz w:val="24"/>
        </w:rPr>
        <w:t xml:space="preserve"> </w:t>
      </w:r>
      <w:r>
        <w:rPr>
          <w:rFonts w:eastAsia="仿宋_gb2312"/>
          <w:kern w:val="0"/>
          <w:szCs w:val="32"/>
        </w:rPr>
        <w:t>作品展示：参赛队按照自选命题设计参赛作品，撰写技术论文，并制作符合设计方案的演示实物。所有参赛队伍</w:t>
      </w:r>
      <w:r>
        <w:rPr>
          <w:rFonts w:eastAsia="仿宋_gb2312"/>
          <w:kern w:val="0"/>
          <w:szCs w:val="32"/>
        </w:rPr>
        <w:lastRenderedPageBreak/>
        <w:t>必须统一制作展板并携带实物作品到指定地点进行展示和介绍。评审专家委员会通过听取作品介绍和现场问答，根据参赛作品的展示效果、创意创新性、功能完整性、技术先进性和实用性等综合因素进行评分。作品评审后取前</w:t>
      </w:r>
      <w:r>
        <w:rPr>
          <w:rFonts w:eastAsia="仿宋_gb2312"/>
          <w:kern w:val="0"/>
          <w:szCs w:val="32"/>
        </w:rPr>
        <w:t>40%</w:t>
      </w:r>
      <w:r>
        <w:rPr>
          <w:rFonts w:eastAsia="仿宋_gb2312"/>
          <w:kern w:val="0"/>
          <w:szCs w:val="32"/>
        </w:rPr>
        <w:t>优秀作品进入现场答辩环节。</w:t>
      </w:r>
    </w:p>
    <w:p w14:paraId="5CCC7BFB" w14:textId="77777777" w:rsidR="00140C3C" w:rsidRDefault="00140C3C" w:rsidP="00140C3C">
      <w:pPr>
        <w:spacing w:line="600" w:lineRule="exact"/>
        <w:ind w:firstLineChars="200" w:firstLine="640"/>
        <w:rPr>
          <w:rFonts w:eastAsia="仿宋_gb2312"/>
          <w:kern w:val="0"/>
          <w:szCs w:val="32"/>
        </w:rPr>
      </w:pPr>
      <w:r>
        <w:rPr>
          <w:rFonts w:eastAsia="仿宋_gb2312"/>
          <w:kern w:val="0"/>
          <w:szCs w:val="32"/>
        </w:rPr>
        <w:t xml:space="preserve">2. </w:t>
      </w:r>
      <w:r>
        <w:rPr>
          <w:rFonts w:eastAsia="仿宋_gb2312"/>
          <w:kern w:val="0"/>
          <w:szCs w:val="32"/>
        </w:rPr>
        <w:t>现场答辩评审：重点考核参赛队的整体素质，参赛作品的水平、参赛队员临场发挥和团体协作能力。进入现场答辩环节的队伍通过抽签确定答辩次序，每支参赛队伍答辩时间为</w:t>
      </w:r>
      <w:r>
        <w:rPr>
          <w:rFonts w:eastAsia="仿宋_gb2312"/>
          <w:kern w:val="0"/>
          <w:szCs w:val="32"/>
        </w:rPr>
        <w:t>15</w:t>
      </w:r>
      <w:r>
        <w:rPr>
          <w:rFonts w:eastAsia="仿宋_gb2312"/>
          <w:kern w:val="0"/>
          <w:szCs w:val="32"/>
        </w:rPr>
        <w:t>分钟（包括</w:t>
      </w:r>
      <w:r>
        <w:rPr>
          <w:rFonts w:eastAsia="仿宋_gb2312"/>
          <w:kern w:val="0"/>
          <w:szCs w:val="32"/>
        </w:rPr>
        <w:t>10</w:t>
      </w:r>
      <w:r>
        <w:rPr>
          <w:rFonts w:eastAsia="仿宋_gb2312"/>
          <w:kern w:val="0"/>
          <w:szCs w:val="32"/>
        </w:rPr>
        <w:t>分钟演讲和</w:t>
      </w:r>
      <w:r>
        <w:rPr>
          <w:rFonts w:eastAsia="仿宋_gb2312"/>
          <w:kern w:val="0"/>
          <w:szCs w:val="32"/>
        </w:rPr>
        <w:t>5</w:t>
      </w:r>
      <w:r>
        <w:rPr>
          <w:rFonts w:eastAsia="仿宋_gb2312"/>
          <w:kern w:val="0"/>
          <w:szCs w:val="32"/>
        </w:rPr>
        <w:t>分钟质询答疑）。评审专家委员会根据演讲和答疑情况给出答辩环节评分。</w:t>
      </w:r>
    </w:p>
    <w:p w14:paraId="5BB2C0AA" w14:textId="77777777" w:rsidR="008D1D05" w:rsidRPr="00140C3C" w:rsidRDefault="008D1D05"/>
    <w:sectPr w:rsidR="008D1D05" w:rsidRPr="00140C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5A69" w14:textId="77777777" w:rsidR="003F56F8" w:rsidRDefault="003F56F8" w:rsidP="00140C3C">
      <w:r>
        <w:separator/>
      </w:r>
    </w:p>
  </w:endnote>
  <w:endnote w:type="continuationSeparator" w:id="0">
    <w:p w14:paraId="68BCD646" w14:textId="77777777" w:rsidR="003F56F8" w:rsidRDefault="003F56F8" w:rsidP="001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83920"/>
      <w:docPartObj>
        <w:docPartGallery w:val="Page Numbers (Bottom of Page)"/>
        <w:docPartUnique/>
      </w:docPartObj>
    </w:sdtPr>
    <w:sdtContent>
      <w:p w14:paraId="3D3F41A1" w14:textId="3F5F0B43" w:rsidR="00140C3C" w:rsidRDefault="00140C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383C44" w14:textId="77777777" w:rsidR="00140C3C" w:rsidRDefault="00140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D164" w14:textId="77777777" w:rsidR="003F56F8" w:rsidRDefault="003F56F8" w:rsidP="00140C3C">
      <w:r>
        <w:separator/>
      </w:r>
    </w:p>
  </w:footnote>
  <w:footnote w:type="continuationSeparator" w:id="0">
    <w:p w14:paraId="46651D49" w14:textId="77777777" w:rsidR="003F56F8" w:rsidRDefault="003F56F8" w:rsidP="0014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EF"/>
    <w:rsid w:val="00140C3C"/>
    <w:rsid w:val="003F56F8"/>
    <w:rsid w:val="008D1D05"/>
    <w:rsid w:val="0095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A54DC1-F8E6-4DDE-8332-1E713C5B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3C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0C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0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CE22-5E49-4AC9-87CC-A6D8B02C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</dc:creator>
  <cp:keywords/>
  <dc:description/>
  <cp:lastModifiedBy>俊</cp:lastModifiedBy>
  <cp:revision>2</cp:revision>
  <dcterms:created xsi:type="dcterms:W3CDTF">2022-09-16T02:40:00Z</dcterms:created>
  <dcterms:modified xsi:type="dcterms:W3CDTF">2022-09-16T02:41:00Z</dcterms:modified>
</cp:coreProperties>
</file>