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附件1</w:t>
      </w:r>
      <w:r>
        <w:rPr>
          <w:rFonts w:hint="eastAsia" w:ascii="仿宋_GB2312" w:hAnsi="宋体" w:eastAsia="仿宋_GB2312" w:cstheme="minorBidi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line="560" w:lineRule="exact"/>
        <w:jc w:val="center"/>
        <w:textAlignment w:val="auto"/>
        <w:rPr>
          <w:rFonts w:hint="eastAsia" w:ascii="方正小标宋_GBK" w:hAnsi="宋体" w:eastAsia="方正小标宋_GBK" w:cstheme="minorBidi"/>
          <w:b/>
          <w:bCs/>
          <w:sz w:val="44"/>
          <w:szCs w:val="44"/>
          <w:lang w:eastAsia="zh-CN"/>
        </w:rPr>
      </w:pPr>
      <w:r>
        <w:rPr>
          <w:rFonts w:hint="eastAsia" w:ascii="方正小标宋_GBK" w:hAnsi="宋体" w:eastAsia="方正小标宋_GBK" w:cstheme="minorBidi"/>
          <w:b/>
          <w:bCs/>
          <w:sz w:val="44"/>
          <w:szCs w:val="44"/>
        </w:rPr>
        <w:t>湖南科技大学金融案例大赛方案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一、案例提交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提交的案例必须具有原创性和自主知识产权，且没有以任何形式授权其他组织使用。案例格式要求参见附件3，每篇案例须提交两个版本：一个版本为包括团队与作者信息的完整版（文件以“完整版+团队名+作者名+题目”命名）；另一个版本须做匿名处理（文中任何地方都不能出现作者姓名和所在团队的信息，文件以“匿名版+题目”命名），完整版和匿名版均须发送PDF版本。两个版本和报名表压缩至一个文件夹（文件夹命名以“团队名+作者名+题目”）中进行提交。未做好匿名处理的案例在评审中将被扣分，请知悉。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r>
        <w:rPr>
          <w:rFonts w:hint="eastAsia" w:ascii="黑体" w:hAnsi="黑体" w:eastAsia="黑体" w:cstheme="minorBidi"/>
          <w:b/>
          <w:bCs/>
          <w:sz w:val="32"/>
          <w:szCs w:val="32"/>
        </w:rPr>
        <w:t>二、案例初评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案例初评采用盲审的方式。邀请行业专家、学者组建评审委员会，从案例的原创性和逻辑性、方案的可推广性、创新性、可行性等方面，对参赛作品进行盲审打分，取平均分作为初审成绩，取排名前50%的队伍进入决赛（答辩）环节。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 w:cstheme="minorBidi"/>
          <w:b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 w:cstheme="minorBidi"/>
          <w:b/>
          <w:bCs/>
          <w:sz w:val="32"/>
          <w:szCs w:val="32"/>
        </w:rPr>
        <w:t>三、决赛安排</w:t>
      </w:r>
    </w:p>
    <w:bookmarkEnd w:id="0"/>
    <w:p>
      <w:pPr>
        <w:spacing w:line="560" w:lineRule="exact"/>
        <w:ind w:firstLine="640" w:firstLineChars="200"/>
        <w:rPr>
          <w:rFonts w:hint="eastAsia" w:ascii="仿宋_GB2312" w:hAnsi="宋体" w:eastAsia="仿宋_GB2312" w:cstheme="minorBidi"/>
          <w:sz w:val="32"/>
          <w:szCs w:val="32"/>
        </w:rPr>
      </w:pPr>
      <w:r>
        <w:rPr>
          <w:rFonts w:hint="eastAsia" w:ascii="仿宋_GB2312" w:hAnsi="宋体" w:eastAsia="仿宋_GB2312" w:cstheme="minorBidi"/>
          <w:sz w:val="32"/>
          <w:szCs w:val="32"/>
        </w:rPr>
        <w:t>进入决赛的参赛团队于决赛当天抽签决定上场顺序，展示案例（决赛）PPT进行答辩。评委根据评分标准给每个决赛团队评分，综合盲审评分（50%）和现场表现评分（50%），按照得分高低决定最终名次。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12628"/>
    <w:rsid w:val="6184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2022-03-25T07:18:00Z</dcterms:created>
  <dc:creator>王文芳</dc:creator>
  <cp:lastModifiedBy>元气</cp:lastModifiedBy>
  <dcterms:modified xsi:type="dcterms:W3CDTF">2022-03-29T10:14:28Z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330F1C72C82241F782A056793D1A4861</vt:lpwstr>
  </property>
</Properties>
</file>