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附件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：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cs="宋体" w:asciiTheme="majorEastAsia" w:hAnsiTheme="majorEastAsia" w:eastAsiaTheme="majorEastAsia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>湖南科技大学MPAcc案例分析大赛</w:t>
      </w:r>
      <w:r>
        <w:rPr>
          <w:rFonts w:hint="eastAsia" w:cs="宋体" w:asciiTheme="majorEastAsia" w:hAnsiTheme="majorEastAsia" w:eastAsiaTheme="majorEastAsia"/>
          <w:b/>
          <w:bCs/>
          <w:color w:val="000000"/>
          <w:sz w:val="32"/>
          <w:szCs w:val="32"/>
          <w:shd w:val="clear" w:color="auto" w:fill="FFFFFF"/>
        </w:rPr>
        <w:t>评分规则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beforeAutospacing="0" w:after="78" w:afterLines="25" w:afterAutospacing="0"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shd w:val="clear" w:color="auto" w:fill="FFFFFF"/>
          <w:lang w:eastAsia="zh-CN"/>
        </w:rPr>
        <w:t>一、初赛评分规则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shd w:val="clear" w:color="auto" w:fill="FFFFFF"/>
          <w:lang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1. 立意、观点是否明晰                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2. 分析逻辑是否严密                  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3. 论据是否充分                      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4. 是否能运用所学会计和审计学知识    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5. 方法、工具的选择和运用是否得当    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6. 案例问题解决方案的可行性和有效性  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7. 表达方式是否幽默                  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8. 叙述是否精准                      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9. 看待问题角度是否有创意            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10.解决方案方法是否有创意            （10分）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beforeAutospacing="0" w:after="78" w:afterLines="25" w:afterAutospacing="0"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shd w:val="clear" w:color="auto" w:fill="FFFFFF"/>
          <w:lang w:eastAsia="zh-CN"/>
        </w:rPr>
        <w:t>二、复赛评分规则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（一）案例分析：50分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1. 立意、观点是否明晰                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2. 分析逻辑是否严密                  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3. 论据是否充分                      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4. 是否能运用所学会计与审计学知识    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5. 方法、工具的选择和运用是否得当    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6. 案例问题解决方案的可行性和有效性   (8分)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（二）现场展示：50分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1. 表达是否流畅                      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2. 时间把握是否精准                  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3. 精神风貌是否良好                  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4. 团队合作是否默契                  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5. 回答问题是否准确                  （10分）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9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2022-03-25T08:02:08Z</dcterms:created>
  <dc:creator>王文芳</dc:creator>
  <cp:lastModifiedBy>元气</cp:lastModifiedBy>
  <dcterms:modified xsi:type="dcterms:W3CDTF">2022-03-25T08:03:36Z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C2A836B0E73641B8AE9D734F19D7D1BB</vt:lpwstr>
  </property>
</Properties>
</file>