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 w:val="32"/>
          <w:szCs w:val="32"/>
        </w:rPr>
      </w:pPr>
      <w:r>
        <w:rPr>
          <w:rFonts w:eastAsia="黑体"/>
          <w:sz w:val="32"/>
          <w:szCs w:val="32"/>
        </w:rPr>
        <w:t>附件1</w:t>
      </w:r>
    </w:p>
    <w:p>
      <w:pPr>
        <w:snapToGrid w:val="0"/>
        <w:rPr>
          <w:rFonts w:eastAsia="仿宋_GB2312"/>
          <w:sz w:val="32"/>
          <w:szCs w:val="32"/>
        </w:rPr>
      </w:pPr>
    </w:p>
    <w:p>
      <w:pPr>
        <w:snapToGrid w:val="0"/>
        <w:spacing w:line="600" w:lineRule="exact"/>
        <w:jc w:val="center"/>
        <w:rPr>
          <w:rFonts w:eastAsia="方正小标宋简体"/>
          <w:sz w:val="44"/>
          <w:szCs w:val="44"/>
        </w:rPr>
      </w:pPr>
      <w:r>
        <w:rPr>
          <w:rFonts w:eastAsia="方正小标宋简体"/>
          <w:sz w:val="44"/>
          <w:szCs w:val="44"/>
        </w:rPr>
        <w:t>湖南省首届研究生教学技能大赛方案</w:t>
      </w:r>
    </w:p>
    <w:p>
      <w:pPr>
        <w:snapToGrid w:val="0"/>
        <w:spacing w:before="156" w:beforeLines="50" w:after="156" w:afterLines="50" w:line="360" w:lineRule="exact"/>
        <w:ind w:firstLine="632" w:firstLineChars="200"/>
        <w:rPr>
          <w:rFonts w:eastAsia="黑体"/>
          <w:bCs/>
          <w:spacing w:val="-2"/>
          <w:kern w:val="0"/>
          <w:sz w:val="32"/>
          <w:szCs w:val="32"/>
        </w:rPr>
      </w:pPr>
    </w:p>
    <w:p>
      <w:pPr>
        <w:ind w:firstLine="640" w:firstLineChars="200"/>
        <w:rPr>
          <w:rFonts w:eastAsia="黑体"/>
          <w:sz w:val="32"/>
          <w:szCs w:val="32"/>
        </w:rPr>
      </w:pPr>
      <w:r>
        <w:rPr>
          <w:rFonts w:eastAsia="黑体"/>
          <w:sz w:val="32"/>
          <w:szCs w:val="32"/>
        </w:rPr>
        <w:t>一、竞赛内容</w:t>
      </w:r>
    </w:p>
    <w:p>
      <w:pPr>
        <w:ind w:firstLine="640" w:firstLineChars="200"/>
        <w:rPr>
          <w:rFonts w:eastAsia="仿宋_GB2312"/>
          <w:sz w:val="32"/>
          <w:szCs w:val="32"/>
        </w:rPr>
      </w:pPr>
      <w:r>
        <w:rPr>
          <w:rFonts w:eastAsia="仿宋_GB2312"/>
          <w:sz w:val="32"/>
          <w:szCs w:val="32"/>
        </w:rPr>
        <w:t xml:space="preserve">1. </w:t>
      </w:r>
      <w:r>
        <w:rPr>
          <w:rFonts w:eastAsia="仿宋_GB2312"/>
          <w:spacing w:val="-4"/>
          <w:sz w:val="32"/>
          <w:szCs w:val="32"/>
        </w:rPr>
        <w:t>教学设计与课件制作：参赛选手根据报名参赛的组别与科目抽取试题，现场完成1个课时的教学设计。同时，参赛选手从教学设计中选取与片段教学对应的内容制作教学课件。教学设计与教学课件均在指定机房完成，合计时间不超过150分钟，均以电子稿形式提交。大赛组委会统一计算机软件运行环境（见附件2）。</w:t>
      </w:r>
    </w:p>
    <w:p>
      <w:pPr>
        <w:ind w:firstLine="640" w:firstLineChars="200"/>
        <w:rPr>
          <w:rFonts w:eastAsia="仿宋_GB2312"/>
          <w:sz w:val="32"/>
          <w:szCs w:val="32"/>
        </w:rPr>
      </w:pPr>
      <w:r>
        <w:rPr>
          <w:rFonts w:eastAsia="仿宋_GB2312"/>
          <w:sz w:val="32"/>
          <w:szCs w:val="32"/>
        </w:rPr>
        <w:t>2. 片段教学与板书设计：参赛选手根据教学设计和教学课件进行教学展示，时间为10分钟。教学过程应符合教学基本规律、遵循教学目标要求、完成预计教学任务，突出新课程理念、注重启发和课堂互动、展示驾驭课堂教学的能力。参赛选手在片段教学过程中，使用粉笔在黑板上书写教学内容，主要考察选手的板书设计能力。</w:t>
      </w:r>
    </w:p>
    <w:p>
      <w:pPr>
        <w:ind w:firstLine="640" w:firstLineChars="200"/>
        <w:rPr>
          <w:rFonts w:eastAsia="仿宋_GB2312"/>
          <w:sz w:val="32"/>
          <w:szCs w:val="32"/>
        </w:rPr>
      </w:pPr>
      <w:r>
        <w:rPr>
          <w:rFonts w:eastAsia="仿宋_GB2312"/>
          <w:sz w:val="32"/>
          <w:szCs w:val="32"/>
        </w:rPr>
        <w:t>3. 教育问答与现场答辩：内容主要涉及教育教学、班级管理、教师专业发展以及教育科研中的常见问题，考察选手综合运用专业知识创造性解决问题的能力。选手现场抽取1个题目，准备5分钟后回答，答题时间不超过3分钟。</w:t>
      </w:r>
    </w:p>
    <w:p>
      <w:pPr>
        <w:ind w:firstLine="640" w:firstLineChars="200"/>
        <w:rPr>
          <w:rFonts w:eastAsia="黑体"/>
          <w:sz w:val="32"/>
          <w:szCs w:val="32"/>
        </w:rPr>
      </w:pPr>
      <w:r>
        <w:rPr>
          <w:rFonts w:eastAsia="黑体"/>
          <w:sz w:val="32"/>
          <w:szCs w:val="32"/>
        </w:rPr>
        <w:t>二、竞赛方式</w:t>
      </w:r>
    </w:p>
    <w:p>
      <w:pPr>
        <w:spacing w:line="580" w:lineRule="exact"/>
        <w:ind w:firstLine="640" w:firstLineChars="200"/>
        <w:rPr>
          <w:rFonts w:eastAsia="仿宋_GB2312"/>
          <w:sz w:val="32"/>
          <w:szCs w:val="32"/>
        </w:rPr>
      </w:pPr>
      <w:r>
        <w:rPr>
          <w:rFonts w:eastAsia="仿宋_GB2312"/>
          <w:sz w:val="32"/>
          <w:szCs w:val="32"/>
        </w:rPr>
        <w:t>1. 竞赛分值以百分制计算，满分为100分，其中教学设计与课件制作40分、片段教学与板书设计50分、教育问答与现场答辩10分。</w:t>
      </w:r>
    </w:p>
    <w:p>
      <w:pPr>
        <w:spacing w:line="580" w:lineRule="exact"/>
        <w:ind w:firstLine="640" w:firstLineChars="200"/>
        <w:rPr>
          <w:rFonts w:eastAsia="仿宋_GB2312"/>
          <w:sz w:val="32"/>
          <w:szCs w:val="32"/>
        </w:rPr>
      </w:pPr>
      <w:r>
        <w:rPr>
          <w:rFonts w:eastAsia="仿宋_GB2312"/>
          <w:sz w:val="32"/>
          <w:szCs w:val="32"/>
        </w:rPr>
        <w:t>2. 竞赛分为教育学组、教育硕士中学文科组、教育硕士中学理科组、教育硕士综合组共四个组别。教育学组竞赛科目限定为教育学；教育硕士中学文科组竞赛科目限定为语文、英语、政治、历史、音乐、美术；教育硕士中学理科组竞赛科目限定为数学、物理、化学、生物、地理、体育；教育硕士综合组竞赛科目限定为小学语文、小学数学、小学英语、学前教育、心理健康教育、信息技术等。</w:t>
      </w:r>
    </w:p>
    <w:p>
      <w:pPr>
        <w:spacing w:line="580" w:lineRule="exact"/>
        <w:ind w:firstLine="640" w:firstLineChars="200"/>
        <w:rPr>
          <w:rFonts w:eastAsia="仿宋_GB2312"/>
          <w:sz w:val="32"/>
          <w:szCs w:val="32"/>
        </w:rPr>
      </w:pPr>
      <w:r>
        <w:rPr>
          <w:rFonts w:eastAsia="仿宋_GB2312"/>
          <w:sz w:val="32"/>
          <w:szCs w:val="32"/>
        </w:rPr>
        <w:t>参赛选手在本组别范围内随机抽签确定自己的参赛批次及次序，按照大赛组委会安排分批次地进入比赛场地。竞赛题目抽签确定后不得更改。</w:t>
      </w:r>
    </w:p>
    <w:p>
      <w:pPr>
        <w:spacing w:line="580" w:lineRule="exact"/>
        <w:ind w:firstLine="640" w:firstLineChars="200"/>
        <w:rPr>
          <w:rFonts w:eastAsia="黑体"/>
          <w:sz w:val="32"/>
          <w:szCs w:val="32"/>
        </w:rPr>
      </w:pPr>
      <w:r>
        <w:rPr>
          <w:rFonts w:eastAsia="黑体"/>
          <w:sz w:val="32"/>
          <w:szCs w:val="32"/>
        </w:rPr>
        <w:t>三、命题范围</w:t>
      </w:r>
    </w:p>
    <w:p>
      <w:pPr>
        <w:spacing w:line="580" w:lineRule="exact"/>
        <w:ind w:firstLine="640" w:firstLineChars="200"/>
        <w:rPr>
          <w:rFonts w:eastAsia="仿宋_GB2312"/>
          <w:sz w:val="32"/>
          <w:szCs w:val="32"/>
        </w:rPr>
      </w:pPr>
      <w:r>
        <w:rPr>
          <w:rFonts w:eastAsia="仿宋_GB2312"/>
          <w:sz w:val="32"/>
          <w:szCs w:val="32"/>
        </w:rPr>
        <w:t>各竞赛组教学设计、片段教学命题范围如下：1.教育学组为扈中平主编的《现代教育学（第4版）》（高等教育出版社，2020年），授课对象为大学专科生；2.教育硕士综合组（学前教育领域）为湖南省教育科学研究院组织编写的《幼儿园多元整合资源包》和长沙师范学院组织编写的《幼儿园发展课程资源包》，竞赛题目是幼儿园五大领域的教学活动；3.教育硕士中学文科组、教育硕士中学理科组、教育硕士综合组（学前教育以外的其它领域）竞赛教材详见附件2。</w:t>
      </w:r>
    </w:p>
    <w:p>
      <w:pPr>
        <w:spacing w:line="580" w:lineRule="exact"/>
        <w:ind w:firstLine="640" w:firstLineChars="200"/>
        <w:rPr>
          <w:rFonts w:eastAsia="黑体"/>
          <w:sz w:val="32"/>
          <w:szCs w:val="32"/>
        </w:rPr>
      </w:pPr>
      <w:r>
        <w:rPr>
          <w:rFonts w:eastAsia="黑体"/>
          <w:sz w:val="32"/>
          <w:szCs w:val="32"/>
        </w:rPr>
        <w:t>四、大赛评委</w:t>
      </w:r>
    </w:p>
    <w:p>
      <w:pPr>
        <w:ind w:firstLine="640" w:firstLineChars="200"/>
        <w:rPr>
          <w:rFonts w:eastAsia="仿宋_GB2312"/>
          <w:sz w:val="32"/>
          <w:szCs w:val="32"/>
        </w:rPr>
      </w:pPr>
      <w:r>
        <w:rPr>
          <w:rFonts w:eastAsia="仿宋_GB2312"/>
          <w:sz w:val="32"/>
          <w:szCs w:val="32"/>
        </w:rPr>
        <w:t>大赛评委由各参赛高校推荐和聘请中小学优秀教师担任，其中高校评委从各参赛高校推荐的评委中遴选，中小学优秀教师由大赛组委会推荐。评委组成由大赛组委会研究确定。</w:t>
      </w:r>
    </w:p>
    <w:p>
      <w:pPr>
        <w:ind w:firstLine="640" w:firstLineChars="200"/>
        <w:rPr>
          <w:rFonts w:eastAsia="仿宋_GB2312"/>
          <w:sz w:val="32"/>
          <w:szCs w:val="32"/>
        </w:rPr>
      </w:pPr>
      <w:r>
        <w:rPr>
          <w:rFonts w:eastAsia="仿宋_GB2312"/>
          <w:sz w:val="32"/>
          <w:szCs w:val="32"/>
        </w:rPr>
        <w:t>每所参赛高校向大赛组委会推荐6名评委，并填写《首届湖南省研究生教学技能大赛高校评委推荐表》（附件4，纸质版需加盖学校公章），组建评委库。要求推荐的评委中3名具有学科教学论背景，3名具有教育学（或心理学）背景。</w:t>
      </w:r>
    </w:p>
    <w:p>
      <w:pPr>
        <w:ind w:firstLine="640" w:firstLineChars="200"/>
        <w:rPr>
          <w:rFonts w:eastAsia="仿宋_GB2312"/>
          <w:sz w:val="32"/>
          <w:szCs w:val="32"/>
        </w:rPr>
      </w:pPr>
      <w:r>
        <w:rPr>
          <w:rFonts w:eastAsia="仿宋_GB2312"/>
          <w:sz w:val="32"/>
          <w:szCs w:val="32"/>
        </w:rPr>
        <w:t>参赛选手的研究生指导教师与比赛指导教师不能担任当届大赛的评委。</w:t>
      </w:r>
    </w:p>
    <w:p>
      <w:pPr>
        <w:ind w:firstLine="640" w:firstLineChars="200"/>
        <w:rPr>
          <w:rFonts w:eastAsia="黑体"/>
          <w:sz w:val="32"/>
          <w:szCs w:val="32"/>
        </w:rPr>
      </w:pPr>
      <w:r>
        <w:rPr>
          <w:rFonts w:eastAsia="黑体"/>
          <w:sz w:val="32"/>
          <w:szCs w:val="32"/>
        </w:rPr>
        <w:t>五、大赛时间安排</w:t>
      </w:r>
    </w:p>
    <w:tbl>
      <w:tblPr>
        <w:tblStyle w:val="2"/>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701"/>
        <w:gridCol w:w="1886"/>
        <w:gridCol w:w="1701"/>
        <w:gridCol w:w="80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130" w:type="dxa"/>
            <w:gridSpan w:val="2"/>
            <w:noWrap w:val="0"/>
            <w:vAlign w:val="center"/>
          </w:tcPr>
          <w:p>
            <w:pPr>
              <w:jc w:val="center"/>
              <w:rPr>
                <w:rFonts w:eastAsia="仿宋_GB2312"/>
                <w:sz w:val="24"/>
              </w:rPr>
            </w:pPr>
            <w:r>
              <w:rPr>
                <w:rFonts w:eastAsia="仿宋_GB2312"/>
                <w:sz w:val="24"/>
              </w:rPr>
              <w:t>时      间</w:t>
            </w:r>
          </w:p>
        </w:tc>
        <w:tc>
          <w:tcPr>
            <w:tcW w:w="1886" w:type="dxa"/>
            <w:noWrap w:val="0"/>
            <w:vAlign w:val="center"/>
          </w:tcPr>
          <w:p>
            <w:pPr>
              <w:jc w:val="center"/>
              <w:rPr>
                <w:rFonts w:eastAsia="仿宋_GB2312"/>
                <w:sz w:val="24"/>
              </w:rPr>
            </w:pPr>
            <w:r>
              <w:rPr>
                <w:rFonts w:eastAsia="仿宋_GB2312"/>
                <w:sz w:val="24"/>
              </w:rPr>
              <w:t>程  序</w:t>
            </w:r>
          </w:p>
        </w:tc>
        <w:tc>
          <w:tcPr>
            <w:tcW w:w="2508" w:type="dxa"/>
            <w:gridSpan w:val="2"/>
            <w:noWrap w:val="0"/>
            <w:vAlign w:val="center"/>
          </w:tcPr>
          <w:p>
            <w:pPr>
              <w:jc w:val="center"/>
              <w:rPr>
                <w:rFonts w:eastAsia="仿宋_GB2312"/>
                <w:sz w:val="24"/>
              </w:rPr>
            </w:pPr>
            <w:r>
              <w:rPr>
                <w:rFonts w:eastAsia="仿宋_GB2312"/>
                <w:sz w:val="24"/>
              </w:rPr>
              <w:t>时     间</w:t>
            </w:r>
          </w:p>
        </w:tc>
        <w:tc>
          <w:tcPr>
            <w:tcW w:w="1088" w:type="dxa"/>
            <w:noWrap w:val="0"/>
            <w:vAlign w:val="center"/>
          </w:tcPr>
          <w:p>
            <w:pPr>
              <w:jc w:val="center"/>
              <w:rPr>
                <w:rFonts w:eastAsia="仿宋_GB2312"/>
                <w:sz w:val="24"/>
              </w:rPr>
            </w:pPr>
            <w:r>
              <w:rPr>
                <w:rFonts w:eastAsia="仿宋_GB2312"/>
                <w:sz w:val="24"/>
              </w:rPr>
              <w:t>程  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29" w:type="dxa"/>
            <w:vMerge w:val="restart"/>
            <w:noWrap w:val="0"/>
            <w:vAlign w:val="center"/>
          </w:tcPr>
          <w:p>
            <w:pPr>
              <w:jc w:val="center"/>
              <w:rPr>
                <w:rFonts w:eastAsia="仿宋_GB2312"/>
                <w:sz w:val="24"/>
              </w:rPr>
            </w:pPr>
            <w:r>
              <w:rPr>
                <w:rFonts w:eastAsia="仿宋_GB2312"/>
                <w:sz w:val="24"/>
              </w:rPr>
              <w:t>2021年</w:t>
            </w:r>
          </w:p>
          <w:p>
            <w:pPr>
              <w:jc w:val="center"/>
              <w:rPr>
                <w:rFonts w:eastAsia="仿宋_GB2312"/>
                <w:sz w:val="24"/>
              </w:rPr>
            </w:pPr>
            <w:r>
              <w:rPr>
                <w:rFonts w:eastAsia="仿宋_GB2312"/>
                <w:sz w:val="24"/>
              </w:rPr>
              <w:t>11月5日（周五）</w:t>
            </w:r>
          </w:p>
        </w:tc>
        <w:tc>
          <w:tcPr>
            <w:tcW w:w="1701" w:type="dxa"/>
            <w:noWrap w:val="0"/>
            <w:vAlign w:val="center"/>
          </w:tcPr>
          <w:p>
            <w:pPr>
              <w:jc w:val="center"/>
              <w:rPr>
                <w:rFonts w:eastAsia="仿宋_GB2312"/>
                <w:sz w:val="24"/>
              </w:rPr>
            </w:pPr>
            <w:r>
              <w:rPr>
                <w:rFonts w:eastAsia="仿宋_GB2312"/>
                <w:sz w:val="24"/>
              </w:rPr>
              <w:t>12:00—14:00</w:t>
            </w:r>
          </w:p>
        </w:tc>
        <w:tc>
          <w:tcPr>
            <w:tcW w:w="1886" w:type="dxa"/>
            <w:noWrap w:val="0"/>
            <w:vAlign w:val="center"/>
          </w:tcPr>
          <w:p>
            <w:pPr>
              <w:jc w:val="left"/>
              <w:rPr>
                <w:rFonts w:eastAsia="仿宋_GB2312"/>
                <w:sz w:val="24"/>
              </w:rPr>
            </w:pPr>
            <w:r>
              <w:rPr>
                <w:rFonts w:eastAsia="仿宋_GB2312"/>
                <w:sz w:val="24"/>
              </w:rPr>
              <w:t>报    到</w:t>
            </w:r>
          </w:p>
        </w:tc>
        <w:tc>
          <w:tcPr>
            <w:tcW w:w="1701" w:type="dxa"/>
            <w:vMerge w:val="restart"/>
            <w:noWrap w:val="0"/>
            <w:vAlign w:val="center"/>
          </w:tcPr>
          <w:p>
            <w:pPr>
              <w:jc w:val="center"/>
              <w:rPr>
                <w:rFonts w:eastAsia="仿宋_GB2312"/>
                <w:sz w:val="24"/>
              </w:rPr>
            </w:pPr>
            <w:r>
              <w:rPr>
                <w:rFonts w:eastAsia="仿宋_GB2312"/>
                <w:sz w:val="24"/>
              </w:rPr>
              <w:t>2021年</w:t>
            </w:r>
          </w:p>
          <w:p>
            <w:pPr>
              <w:jc w:val="center"/>
              <w:rPr>
                <w:rFonts w:eastAsia="仿宋_GB2312"/>
                <w:sz w:val="24"/>
              </w:rPr>
            </w:pPr>
            <w:r>
              <w:rPr>
                <w:rFonts w:eastAsia="仿宋_GB2312"/>
                <w:sz w:val="24"/>
              </w:rPr>
              <w:t>11月6日</w:t>
            </w:r>
          </w:p>
          <w:p>
            <w:pPr>
              <w:jc w:val="center"/>
              <w:rPr>
                <w:rFonts w:eastAsia="仿宋_GB2312"/>
                <w:sz w:val="24"/>
              </w:rPr>
            </w:pPr>
            <w:r>
              <w:rPr>
                <w:rFonts w:eastAsia="仿宋_GB2312"/>
                <w:sz w:val="24"/>
              </w:rPr>
              <w:t>（周六）</w:t>
            </w:r>
          </w:p>
        </w:tc>
        <w:tc>
          <w:tcPr>
            <w:tcW w:w="807" w:type="dxa"/>
            <w:vMerge w:val="restart"/>
            <w:noWrap w:val="0"/>
            <w:vAlign w:val="center"/>
          </w:tcPr>
          <w:p>
            <w:pPr>
              <w:jc w:val="center"/>
              <w:rPr>
                <w:rFonts w:eastAsia="仿宋_GB2312"/>
                <w:sz w:val="24"/>
              </w:rPr>
            </w:pPr>
            <w:r>
              <w:rPr>
                <w:rFonts w:eastAsia="仿宋_GB2312"/>
                <w:sz w:val="24"/>
              </w:rPr>
              <w:t>全天</w:t>
            </w:r>
          </w:p>
        </w:tc>
        <w:tc>
          <w:tcPr>
            <w:tcW w:w="1088" w:type="dxa"/>
            <w:vMerge w:val="restart"/>
            <w:noWrap w:val="0"/>
            <w:vAlign w:val="center"/>
          </w:tcPr>
          <w:p>
            <w:pPr>
              <w:jc w:val="center"/>
              <w:rPr>
                <w:rFonts w:eastAsia="仿宋_GB2312"/>
                <w:sz w:val="24"/>
              </w:rPr>
            </w:pPr>
            <w:r>
              <w:rPr>
                <w:rFonts w:eastAsia="仿宋_GB2312"/>
                <w:sz w:val="24"/>
              </w:rPr>
              <w:t>学生</w:t>
            </w:r>
          </w:p>
          <w:p>
            <w:pPr>
              <w:jc w:val="center"/>
              <w:rPr>
                <w:rFonts w:eastAsia="仿宋_GB2312"/>
                <w:sz w:val="24"/>
              </w:rPr>
            </w:pPr>
            <w:r>
              <w:rPr>
                <w:rFonts w:eastAsia="仿宋_GB2312"/>
                <w:sz w:val="24"/>
              </w:rPr>
              <w:t>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29" w:type="dxa"/>
            <w:vMerge w:val="continue"/>
            <w:noWrap w:val="0"/>
            <w:vAlign w:val="center"/>
          </w:tcPr>
          <w:p>
            <w:pPr>
              <w:rPr>
                <w:rFonts w:eastAsia="仿宋_GB2312"/>
                <w:sz w:val="24"/>
              </w:rPr>
            </w:pPr>
          </w:p>
        </w:tc>
        <w:tc>
          <w:tcPr>
            <w:tcW w:w="1701" w:type="dxa"/>
            <w:noWrap w:val="0"/>
            <w:vAlign w:val="center"/>
          </w:tcPr>
          <w:p>
            <w:pPr>
              <w:rPr>
                <w:rFonts w:eastAsia="仿宋_GB2312"/>
                <w:sz w:val="24"/>
              </w:rPr>
            </w:pPr>
            <w:r>
              <w:rPr>
                <w:rFonts w:eastAsia="仿宋_GB2312"/>
                <w:sz w:val="24"/>
              </w:rPr>
              <w:t>15:00—17:00</w:t>
            </w:r>
          </w:p>
        </w:tc>
        <w:tc>
          <w:tcPr>
            <w:tcW w:w="1886" w:type="dxa"/>
            <w:noWrap w:val="0"/>
            <w:vAlign w:val="center"/>
          </w:tcPr>
          <w:p>
            <w:pPr>
              <w:jc w:val="left"/>
              <w:rPr>
                <w:rFonts w:eastAsia="仿宋_GB2312"/>
                <w:sz w:val="24"/>
              </w:rPr>
            </w:pPr>
            <w:r>
              <w:rPr>
                <w:rFonts w:eastAsia="仿宋_GB2312"/>
                <w:sz w:val="24"/>
              </w:rPr>
              <w:t>选手熟悉场地</w:t>
            </w:r>
          </w:p>
        </w:tc>
        <w:tc>
          <w:tcPr>
            <w:tcW w:w="1701" w:type="dxa"/>
            <w:vMerge w:val="continue"/>
            <w:noWrap w:val="0"/>
            <w:vAlign w:val="center"/>
          </w:tcPr>
          <w:p>
            <w:pPr>
              <w:rPr>
                <w:rFonts w:eastAsia="仿宋_GB2312"/>
                <w:sz w:val="24"/>
              </w:rPr>
            </w:pPr>
          </w:p>
        </w:tc>
        <w:tc>
          <w:tcPr>
            <w:tcW w:w="807" w:type="dxa"/>
            <w:vMerge w:val="continue"/>
            <w:noWrap w:val="0"/>
            <w:vAlign w:val="center"/>
          </w:tcPr>
          <w:p>
            <w:pPr>
              <w:rPr>
                <w:rFonts w:eastAsia="仿宋_GB2312"/>
                <w:sz w:val="24"/>
              </w:rPr>
            </w:pPr>
          </w:p>
        </w:tc>
        <w:tc>
          <w:tcPr>
            <w:tcW w:w="1088" w:type="dxa"/>
            <w:vMerge w:val="continue"/>
            <w:noWrap w:val="0"/>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29" w:type="dxa"/>
            <w:vMerge w:val="continue"/>
            <w:noWrap w:val="0"/>
            <w:vAlign w:val="center"/>
          </w:tcPr>
          <w:p>
            <w:pPr>
              <w:rPr>
                <w:rFonts w:eastAsia="仿宋_GB2312"/>
                <w:sz w:val="24"/>
              </w:rPr>
            </w:pPr>
          </w:p>
        </w:tc>
        <w:tc>
          <w:tcPr>
            <w:tcW w:w="1701" w:type="dxa"/>
            <w:noWrap w:val="0"/>
            <w:vAlign w:val="center"/>
          </w:tcPr>
          <w:p>
            <w:pPr>
              <w:rPr>
                <w:rFonts w:eastAsia="仿宋_GB2312"/>
                <w:sz w:val="24"/>
              </w:rPr>
            </w:pPr>
            <w:r>
              <w:rPr>
                <w:rFonts w:eastAsia="仿宋_GB2312"/>
                <w:sz w:val="24"/>
              </w:rPr>
              <w:t>20:00—21:00</w:t>
            </w:r>
          </w:p>
        </w:tc>
        <w:tc>
          <w:tcPr>
            <w:tcW w:w="1886" w:type="dxa"/>
            <w:noWrap w:val="0"/>
            <w:vAlign w:val="center"/>
          </w:tcPr>
          <w:p>
            <w:pPr>
              <w:jc w:val="left"/>
              <w:rPr>
                <w:rFonts w:eastAsia="仿宋_GB2312"/>
                <w:sz w:val="24"/>
              </w:rPr>
            </w:pPr>
            <w:r>
              <w:rPr>
                <w:rFonts w:eastAsia="仿宋_GB2312"/>
                <w:sz w:val="24"/>
              </w:rPr>
              <w:t>领队会议</w:t>
            </w:r>
          </w:p>
        </w:tc>
        <w:tc>
          <w:tcPr>
            <w:tcW w:w="1701" w:type="dxa"/>
            <w:vMerge w:val="continue"/>
            <w:noWrap w:val="0"/>
            <w:vAlign w:val="center"/>
          </w:tcPr>
          <w:p>
            <w:pPr>
              <w:rPr>
                <w:rFonts w:eastAsia="仿宋_GB2312"/>
                <w:sz w:val="24"/>
              </w:rPr>
            </w:pPr>
          </w:p>
        </w:tc>
        <w:tc>
          <w:tcPr>
            <w:tcW w:w="807" w:type="dxa"/>
            <w:vMerge w:val="continue"/>
            <w:noWrap w:val="0"/>
            <w:vAlign w:val="center"/>
          </w:tcPr>
          <w:p>
            <w:pPr>
              <w:rPr>
                <w:rFonts w:eastAsia="仿宋_GB2312"/>
                <w:sz w:val="24"/>
              </w:rPr>
            </w:pPr>
          </w:p>
        </w:tc>
        <w:tc>
          <w:tcPr>
            <w:tcW w:w="1088" w:type="dxa"/>
            <w:vMerge w:val="continue"/>
            <w:noWrap w:val="0"/>
            <w:vAlign w:val="center"/>
          </w:tcPr>
          <w:p>
            <w:pPr>
              <w:rPr>
                <w:rFonts w:eastAsia="仿宋_GB2312"/>
                <w:sz w:val="24"/>
              </w:rPr>
            </w:pPr>
          </w:p>
        </w:tc>
      </w:tr>
    </w:tbl>
    <w:p>
      <w:pPr>
        <w:ind w:firstLine="640" w:firstLineChars="200"/>
        <w:rPr>
          <w:rFonts w:eastAsia="黑体"/>
          <w:sz w:val="32"/>
          <w:szCs w:val="32"/>
        </w:rPr>
      </w:pPr>
      <w:r>
        <w:rPr>
          <w:rFonts w:eastAsia="黑体"/>
          <w:sz w:val="32"/>
          <w:szCs w:val="32"/>
        </w:rPr>
        <w:t>六、其他事项</w:t>
      </w:r>
    </w:p>
    <w:p>
      <w:pPr>
        <w:ind w:firstLine="640" w:firstLineChars="200"/>
        <w:rPr>
          <w:rFonts w:eastAsia="仿宋_GB2312"/>
          <w:sz w:val="32"/>
          <w:szCs w:val="32"/>
        </w:rPr>
      </w:pPr>
      <w:r>
        <w:rPr>
          <w:rFonts w:eastAsia="仿宋_GB2312"/>
          <w:sz w:val="32"/>
          <w:szCs w:val="32"/>
        </w:rPr>
        <w:t>1. 根据疫情防控情况适时发布大赛期间疫情防控工作安排。</w:t>
      </w:r>
    </w:p>
    <w:p>
      <w:pPr>
        <w:ind w:firstLine="640" w:firstLineChars="200"/>
        <w:rPr>
          <w:rFonts w:eastAsia="仿宋_GB2312"/>
          <w:sz w:val="32"/>
          <w:szCs w:val="32"/>
        </w:rPr>
      </w:pPr>
      <w:r>
        <w:rPr>
          <w:rFonts w:eastAsia="仿宋_GB2312"/>
          <w:sz w:val="32"/>
          <w:szCs w:val="32"/>
        </w:rPr>
        <w:t>2. 参赛选手进入赛场时必须带齐“三证”，即身份证、学生证和报到时由大赛组委会发放的参赛证。</w:t>
      </w:r>
    </w:p>
    <w:p>
      <w:pPr>
        <w:ind w:firstLine="640" w:firstLineChars="200"/>
        <w:rPr>
          <w:rFonts w:eastAsia="仿宋_GB2312"/>
          <w:sz w:val="32"/>
          <w:szCs w:val="32"/>
        </w:rPr>
      </w:pPr>
      <w:r>
        <w:rPr>
          <w:rFonts w:eastAsia="仿宋_GB2312"/>
          <w:sz w:val="32"/>
          <w:szCs w:val="32"/>
        </w:rPr>
        <w:t>3. 参赛选手在比赛期间不得携带通讯工具及相关资料进入赛场。</w:t>
      </w:r>
    </w:p>
    <w:p>
      <w:pPr>
        <w:ind w:firstLine="640" w:firstLineChars="200"/>
        <w:rPr>
          <w:rFonts w:eastAsia="仿宋_GB2312"/>
          <w:sz w:val="32"/>
          <w:szCs w:val="32"/>
        </w:rPr>
      </w:pPr>
      <w:r>
        <w:rPr>
          <w:rFonts w:eastAsia="仿宋_GB2312"/>
          <w:sz w:val="32"/>
          <w:szCs w:val="32"/>
        </w:rPr>
        <w:t>4. 竞赛期间，除工作人员外，赛场内禁止领队和指导教师等无关人员进入。</w:t>
      </w:r>
    </w:p>
    <w:p>
      <w:pPr>
        <w:ind w:firstLine="640" w:firstLineChars="200"/>
        <w:rPr>
          <w:rFonts w:eastAsia="仿宋_GB2312"/>
          <w:sz w:val="32"/>
          <w:szCs w:val="32"/>
        </w:rPr>
      </w:pPr>
      <w:r>
        <w:rPr>
          <w:rFonts w:eastAsia="仿宋_GB2312"/>
          <w:sz w:val="32"/>
          <w:szCs w:val="32"/>
        </w:rPr>
        <w:t>5. 请各参赛高校指定1名工作人员加入“首届湖南省研究生教学技能大赛”联系QQ群，群号：456482621。</w:t>
      </w:r>
    </w:p>
    <w:p>
      <w:pPr>
        <w:ind w:firstLine="640" w:firstLineChars="200"/>
        <w:rPr>
          <w:rFonts w:eastAsia="仿宋_GB2312"/>
          <w:sz w:val="32"/>
          <w:szCs w:val="32"/>
        </w:rPr>
      </w:pPr>
      <w:r>
        <w:rPr>
          <w:rFonts w:eastAsia="仿宋_GB2312"/>
          <w:sz w:val="32"/>
          <w:szCs w:val="32"/>
        </w:rPr>
        <w:t>6. 各参赛高校限报</w:t>
      </w:r>
      <w:bookmarkStart w:id="0" w:name="baidusnap7"/>
      <w:bookmarkEnd w:id="0"/>
      <w:r>
        <w:rPr>
          <w:rFonts w:eastAsia="仿宋_GB2312"/>
          <w:sz w:val="32"/>
          <w:szCs w:val="32"/>
        </w:rPr>
        <w:t>领队1人、指导教师1-2人参加。</w:t>
      </w:r>
    </w:p>
    <w:p>
      <w:pPr>
        <w:ind w:firstLine="640" w:firstLineChars="200"/>
        <w:rPr>
          <w:rFonts w:eastAsia="仿宋_GB2312"/>
          <w:sz w:val="32"/>
          <w:szCs w:val="32"/>
        </w:rPr>
      </w:pPr>
      <w:r>
        <w:rPr>
          <w:rFonts w:eastAsia="仿宋_GB2312"/>
          <w:sz w:val="32"/>
          <w:szCs w:val="32"/>
        </w:rPr>
        <w:t>7. 未尽事宜另行通知，请参赛单位与选手关注大赛承办单位的研究生院官网。</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74324"/>
    <w:rsid w:val="7C374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2021-09-28T03:21:00Z</dcterms:created>
  <dc:creator>杨</dc:creator>
  <cp:lastModifiedBy>杨</cp:lastModifiedBy>
  <dcterms:modified xsi:type="dcterms:W3CDTF">2021-09-28T03:23:00Z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935786C6B2684D9BA579D8A8AC9F0FEF</vt:lpwstr>
  </property>
</Properties>
</file>