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湖南省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2020年本科高校“双一流”建设专项资金情况</w:t>
      </w:r>
    </w:p>
    <w:p>
      <w:pPr>
        <w:ind w:right="-733" w:rightChars="-34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注：以下为湖南省2020年下达各高校的专项资金标准，仅供各承办单位参考。</w:t>
      </w:r>
    </w:p>
    <w:tbl>
      <w:tblPr>
        <w:tblStyle w:val="3"/>
        <w:tblW w:w="9374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9"/>
        <w:gridCol w:w="6330"/>
        <w:gridCol w:w="116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3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  <w:t>省专项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研究生暑期学校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15万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研究生创新论坛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5万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研究生学科院长论坛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5万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研究生人工智能创新大赛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  <w:t>研究生能源装备创新设计大赛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数学建模大赛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研究生电子设计大赛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研究生MPAcc案例大赛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研究生MBA案例大赛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研究生法律案例大赛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研究生英语翻译大赛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10万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研究生辩论赛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15万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研究生篮球联赛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15万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智能制造大赛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无承办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330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MPA案例大赛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  <w:t>无承办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刚艺体-9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27B51"/>
    <w:rsid w:val="354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2020-12-29T11:49:00Z</dcterms:created>
  <dc:creator>User</dc:creator>
  <cp:lastModifiedBy>User</cp:lastModifiedBy>
  <dcterms:modified xsi:type="dcterms:W3CDTF">2020-12-29T12:00:45Z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