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BBAC5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65F30BED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1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878"/>
        <w:gridCol w:w="3711"/>
      </w:tblGrid>
      <w:tr w14:paraId="7F49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500E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C8AA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FD4D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8DA6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DD4F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B68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材料科学与工程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875C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080500</w:t>
            </w:r>
          </w:p>
          <w:p w14:paraId="35E5F23E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085600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59323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材料科学与工程</w:t>
            </w:r>
          </w:p>
          <w:p w14:paraId="239207C9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材料与化工</w:t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94F3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材料科学基础</w:t>
            </w:r>
          </w:p>
        </w:tc>
      </w:tr>
      <w:tr w14:paraId="16CD7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9859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86A050">
            <w:pPr>
              <w:numPr>
                <w:ilvl w:val="0"/>
                <w:numId w:val="1"/>
              </w:numPr>
              <w:spacing w:before="156" w:beforeLines="50"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材料的分类，各种材料的基本组成和基本性质；</w:t>
            </w:r>
          </w:p>
          <w:p w14:paraId="4FBD2FCE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晶体结构：空间点阵与结晶学指数、晶体结构与键型的关系、最紧密堆积方式、配位数与配位多面体、离子极化、金属晶体结构、无机化合物晶体结构、鲍林规则、硅酸盐晶体结构、高分子晶体结构的特点；</w:t>
            </w:r>
          </w:p>
          <w:p w14:paraId="3AFB72D6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晶体结构缺陷：晶体结构缺陷的分类、点缺陷的符号、缺陷反应表示法、晶体的滑移与孪生、位错的类型、位错的伯格斯矢量及位错的性质、位错的运动、晶界、固溶体的分类、置换型固溶体、间隙型固溶体、固溶体的化学式、形成固溶体后对晶体性质的影响；</w:t>
            </w:r>
          </w:p>
          <w:p w14:paraId="050FF13F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非晶态结构与性质：熔体的结构及其形成过程与特点；</w:t>
            </w:r>
          </w:p>
          <w:p w14:paraId="0FABADAA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表面结构与性质：固体的表面及其结构、润湿与粘附；</w:t>
            </w:r>
          </w:p>
          <w:p w14:paraId="573D208B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相平衡和相图：相平衡的基本概念、相律、相平衡的研究、单元系统相图及其分析、二元系统相图及其分析、三元系统相图的基本类型；</w:t>
            </w:r>
          </w:p>
          <w:p w14:paraId="01EB7D6B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扩散：菲克第一定律和第二定律、固体扩散机构与扩散系数；</w:t>
            </w:r>
          </w:p>
          <w:p w14:paraId="45824A88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材料中的相变：相变分类与相变的条件、液相-固相的转变、液相-液相的转变、马氏体相变；</w:t>
            </w:r>
          </w:p>
          <w:p w14:paraId="18F3154B">
            <w:pPr>
              <w:numPr>
                <w:ilvl w:val="0"/>
                <w:numId w:val="1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烧结：烧结的基本类型、烧结过程、烧结推动力、烧结机理、影响烧结的因素。</w:t>
            </w:r>
          </w:p>
          <w:p w14:paraId="50C96C3F">
            <w:pPr>
              <w:spacing w:line="360" w:lineRule="exact"/>
              <w:rPr>
                <w:rFonts w:hint="eastAsia"/>
                <w:b/>
                <w:szCs w:val="21"/>
              </w:rPr>
            </w:pPr>
          </w:p>
        </w:tc>
      </w:tr>
      <w:tr w14:paraId="0CE9D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0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0FACF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3DD918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0E918562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1.《材料科学基础》，张联盟等，武汉理工大学出版社</w:t>
            </w:r>
          </w:p>
          <w:p w14:paraId="29138B2B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2.《材料科学基础》，</w:t>
            </w:r>
            <w:r>
              <w:rPr>
                <w:rFonts w:ascii="宋体" w:hAnsi="宋体"/>
                <w:szCs w:val="21"/>
              </w:rPr>
              <w:t>胡赓祥</w:t>
            </w:r>
            <w:r>
              <w:rPr>
                <w:rFonts w:hint="eastAsia" w:ascii="宋体" w:hAnsi="宋体"/>
                <w:szCs w:val="21"/>
              </w:rPr>
              <w:t>等，上海交通大学出版社</w:t>
            </w:r>
          </w:p>
        </w:tc>
      </w:tr>
    </w:tbl>
    <w:p w14:paraId="1A5878B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6FF4C1B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39B423D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0A631F4A">
      <w:pPr>
        <w:ind w:left="0" w:leftChars="0" w:firstLine="0" w:firstLineChars="0"/>
      </w:pPr>
      <w:bookmarkStart w:id="0" w:name="_GoBack"/>
      <w:bookmarkEnd w:id="0"/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E6177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254F7"/>
    <w:multiLevelType w:val="singleLevel"/>
    <w:tmpl w:val="B2C254F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9DC6213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0">
    <w:name w:val="Body Text First Indent 2"/>
    <w:basedOn w:val="7"/>
    <w:qFormat/>
    <w:uiPriority w:val="0"/>
    <w:pPr>
      <w:ind w:left="0" w:leftChars="0" w:firstLine="420" w:firstLineChars="200"/>
    </w:pPr>
  </w:style>
  <w:style w:type="paragraph" w:customStyle="1" w:styleId="13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