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BD381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2DE9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FB6E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8ED1A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525E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CBFE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59CB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45EB1"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物理与电子科学学院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EFAFA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0702、</w:t>
            </w:r>
            <w:r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045105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E4914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物理学和学科物理教学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AE20F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829普通物理</w:t>
            </w:r>
          </w:p>
        </w:tc>
      </w:tr>
      <w:tr w14:paraId="4A2D9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9E10B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C9D094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力学30%：（1）质点的运动学方程，运动学问题的求解；（2）平面直角坐标系、极坐标系、自然坐标系中的位置矢量、位移、速度、加速度矢量；（3）牛顿运动定律；（4）动量、冲量，质点及质点系的动量定理及动量守恒定律，弹性碰撞；（5）元功和变力的功的计算，动能，动能定理，功能原理，势能，机械能及机械能守恒定律；（6）刚体，力矩，刚体定轴转动的转动定理，转动惯量及其计算，质点及刚体的角动量，角动量定理，角动量守恒，力矩的功，转动动能定理。</w:t>
            </w:r>
          </w:p>
          <w:p w14:paraId="52465144">
            <w:pPr>
              <w:numPr>
                <w:ilvl w:val="0"/>
                <w:numId w:val="1"/>
              </w:numPr>
              <w:spacing w:line="360" w:lineRule="exact"/>
              <w:rPr>
                <w:rFonts w:hint="default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热学（16.7%）：（1）理想气体的模型及统计假设，理想气体压强公式及统计解析，理想气体分子的平均平动动能、平均能量，理想气体内能，自由度，能量按自由度均分动量，理想气体速率分布函数、速率分布曲线；（2）热力学第一定律，气体的容积功，过程曲线，理想气体的等容过程、等压过程、等温过程、绝热过程、循环过程，热机及热机效率、制冷机，热力学第二定律，卡诺定律，熵、熵变及计算，熵增原理。</w:t>
            </w:r>
          </w:p>
          <w:p w14:paraId="5E8ADBE1">
            <w:pPr>
              <w:numPr>
                <w:ilvl w:val="0"/>
                <w:numId w:val="1"/>
              </w:numPr>
              <w:spacing w:line="360" w:lineRule="exact"/>
              <w:rPr>
                <w:rFonts w:hint="default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机械振动机械波（13%）：（1）谐振动的概念，谐振动方程，谐振动曲线，谐振动的合成，谐振动能量；（2）机械波，波方程，波动曲线，波的干涉，驻波，波的能量。</w:t>
            </w:r>
          </w:p>
          <w:p w14:paraId="309A9E5D">
            <w:pPr>
              <w:numPr>
                <w:ilvl w:val="0"/>
                <w:numId w:val="1"/>
              </w:numPr>
              <w:spacing w:line="360" w:lineRule="exact"/>
              <w:rPr>
                <w:rFonts w:hint="default"/>
                <w:b w:val="0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电磁学（27%）：（1）电场，电场强度，带电体周围电场强度的计算，高斯定理，电场力的功，电势及其计算，电场强度与电势的关系，静电场中的导体，静电场中的电介质，电场能量；（2）磁场，磁感应强度及其计算，安培环路定理，磁场对运动电荷的作用，磁场对载流导体的作用，磁介质，磁场能量；（3）法拉第电磁感应定律，动生电动势，感生电动势，自感和互感，磁场能量，位移电流，麦克斯韦方程组。</w:t>
            </w:r>
          </w:p>
          <w:p w14:paraId="3DB93DD0">
            <w:pPr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color w:val="auto"/>
                <w:szCs w:val="21"/>
                <w:lang w:val="en-US" w:eastAsia="zh-CN"/>
              </w:rPr>
              <w:t>波动光学（13.3%）：（1）光源，光的相干性，光程与光程差，杨氏双缝干涉，薄膜干涉，劈尖干涉，牛顿环，迈克尔逊干涉仪；（2）光的衍射，单缝衍射，光栅衍射，圆孔衍射，X射线衍射；（3）自然光与偏振光，起偏与检偏，马吕斯定律，反射光与折射光的偏振，光的双折射。</w:t>
            </w:r>
          </w:p>
        </w:tc>
      </w:tr>
      <w:tr w14:paraId="4B5D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1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BAD94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35EFD">
            <w:pPr>
              <w:numPr>
                <w:ilvl w:val="0"/>
                <w:numId w:val="0"/>
              </w:numPr>
              <w:spacing w:line="360" w:lineRule="exact"/>
              <w:rPr>
                <w:rFonts w:hint="default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Cs w:val="21"/>
                <w:lang w:val="en-US" w:eastAsia="zh-CN"/>
              </w:rPr>
              <w:t>《普通物理学》第八版上下册，高等教育出版社，程守洙 江之永主编，“十二五”普通高等教育本科国家级规划教材，2022年11月</w:t>
            </w:r>
          </w:p>
        </w:tc>
      </w:tr>
    </w:tbl>
    <w:p w14:paraId="5640583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学院</w:t>
      </w:r>
      <w:r>
        <w:rPr>
          <w:rFonts w:hint="eastAsia"/>
          <w:sz w:val="24"/>
        </w:rPr>
        <w:t>意见：</w:t>
      </w:r>
    </w:p>
    <w:p w14:paraId="06D0C85E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0AF796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             </w:t>
      </w:r>
      <w:r>
        <w:rPr>
          <w:rFonts w:hint="eastAsia"/>
          <w:sz w:val="24"/>
          <w:lang w:val="en-US" w:eastAsia="zh-CN"/>
        </w:rPr>
        <w:t xml:space="preserve">         学院</w:t>
      </w:r>
      <w:r>
        <w:rPr>
          <w:rFonts w:hint="eastAsia"/>
          <w:sz w:val="24"/>
        </w:rPr>
        <w:t>负责人签字（盖章）：</w:t>
      </w:r>
    </w:p>
    <w:p w14:paraId="384A3361">
      <w:pPr>
        <w:jc w:val="center"/>
        <w:rPr>
          <w:rFonts w:hint="eastAsia" w:ascii="隶书" w:eastAsia="隶书"/>
          <w:b/>
          <w:szCs w:val="21"/>
        </w:rPr>
      </w:pPr>
    </w:p>
    <w:p w14:paraId="75ABDF4C">
      <w:pPr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br w:type="page"/>
      </w:r>
    </w:p>
    <w:p w14:paraId="38B48AAA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</w:t>
      </w:r>
    </w:p>
    <w:p w14:paraId="1BB6721C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5年硕士研究生入学考试初试科目大纲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3BDB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5305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73C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A1B5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FB7C5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02956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4B36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信息与电气工程学院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299C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085801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C05A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电气工程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76B35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823电路理论</w:t>
            </w:r>
          </w:p>
        </w:tc>
      </w:tr>
      <w:tr w14:paraId="7384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37E4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1CD5B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电路模型和电路定律</w:t>
            </w:r>
          </w:p>
          <w:p w14:paraId="2ABAEE3B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电阻电路的等效变换</w:t>
            </w:r>
          </w:p>
          <w:p w14:paraId="292B8794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电阻电路的一般分析方法</w:t>
            </w:r>
          </w:p>
          <w:p w14:paraId="762A653F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电路定理</w:t>
            </w:r>
          </w:p>
          <w:p w14:paraId="58A3BC35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运算放大器电路</w:t>
            </w:r>
          </w:p>
          <w:p w14:paraId="3ABA219B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储能元件</w:t>
            </w:r>
          </w:p>
          <w:p w14:paraId="778FC463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动态电路的时域分析</w:t>
            </w:r>
          </w:p>
          <w:p w14:paraId="47EEC330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相量法</w:t>
            </w:r>
          </w:p>
          <w:p w14:paraId="0C0F2FFD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正弦稳态电路分析</w:t>
            </w:r>
          </w:p>
          <w:p w14:paraId="0A3E98F1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耦合电感电路</w:t>
            </w:r>
          </w:p>
          <w:p w14:paraId="7B7E1144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电路的频率响应</w:t>
            </w:r>
          </w:p>
          <w:p w14:paraId="1668DAED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三相电路</w:t>
            </w:r>
          </w:p>
          <w:p w14:paraId="115DD46E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13.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非正弦周期电路</w:t>
            </w:r>
          </w:p>
          <w:p w14:paraId="746EF063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127F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53302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F192C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邱关源编著，《电路》（第5版），高等教育出版社，2006年</w:t>
            </w:r>
          </w:p>
        </w:tc>
      </w:tr>
    </w:tbl>
    <w:p w14:paraId="105C452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3292B80F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BDD069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 主管院长签字：    院长签字：       （盖章）</w:t>
      </w:r>
    </w:p>
    <w:p w14:paraId="4AA848A6">
      <w:pPr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br w:type="page"/>
      </w:r>
    </w:p>
    <w:p w14:paraId="6ADD365A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年硕士研究生入学考试初试科目大纲</w:t>
      </w:r>
    </w:p>
    <w:tbl>
      <w:tblPr>
        <w:tblStyle w:val="10"/>
        <w:tblW w:w="97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3290"/>
        <w:gridCol w:w="2020"/>
        <w:gridCol w:w="3137"/>
      </w:tblGrid>
      <w:tr w14:paraId="3164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FC9E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3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36D8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D9F8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BDE7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570E2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03A5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物理与电子科学学院</w:t>
            </w:r>
          </w:p>
        </w:tc>
        <w:tc>
          <w:tcPr>
            <w:tcW w:w="3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32027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0702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968E0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物理学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5D048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613高等数学</w:t>
            </w:r>
          </w:p>
        </w:tc>
      </w:tr>
      <w:tr w14:paraId="5428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4B05E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8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E719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firstLine="0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函数、极限、连续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27%）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函数的概念及表示法；函数的有界性、单调性、周期性和奇偶性；复合函数、反函数；基本初等函数的性质及其图形；初等函数函数关系的建立；数列极限与函数极限；函数的左极限与右极限；无穷小和无穷大的概念及其关系；无穷小的性质(和性质、积性质)及无穷小的比较(求导定阶)；极限存在的两个准则：单调有界准则和夹逼准则；两个重要极限；函数连续的概念；初等函数的连续性；闭区间上连续函数的性质。</w:t>
            </w:r>
          </w:p>
          <w:p w14:paraId="6AD7F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2、一元函数微分学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20%）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导数和微分的概念；导数的几何意义和物理意义；函数的可导性与连续性之间的关系；平面曲线的切线和法线；导数和微分的四则运算；基本初等函数的导数；复合函数、反函数的微分；高阶导数；一阶微分形式的不变性；微分中值定理；洛必达法则；函数单调性的判别；函数的极值；函数图形的凹凸性、拐点及渐近线；函数的最大值与最小值；弧微分。</w:t>
            </w:r>
          </w:p>
          <w:p w14:paraId="52F91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3、一元函数积分学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10%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原函数和不定积分的概念；不定积分的基本性质；基本积分公式；定积分的概念和基本性质；定积分中值定理；不定积分和定积分的换元积分法与分部积分法；有理函数、三角函数的有理式和简单无理函数的积分；定积分的应用。</w:t>
            </w:r>
          </w:p>
          <w:p w14:paraId="3F6EB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4、向量代数和空间解析几何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10%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向量的概念；向量的线性运算；向量的数量积和向量积；向量的混合积；两向量垂直、平行的条件；两向量的夹角；向量的坐标表达式及其运算；单位向量方向数与方向余弦；曲面方程和空间曲线方程的概念；平面方程；直线方程；平面与平面、平面与直线、直线与直线的夹角以及平行、垂直的条件；点到平面和点到直线的距离；球面；柱面；常用的二次曲面方程及其图形；空间曲线的参数方程和一般方程。</w:t>
            </w:r>
          </w:p>
          <w:p w14:paraId="0E15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5、多元函数微分学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6.7%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多元函数的概念；二元函数的几何意义；二元函数的极限与连续的概念；有界闭区域上多元连续函数的性质；多元函数的偏导数和全微分；全微分存在的必要条件和充分条件；多元复合函数的求导法；二阶偏导数；空间曲线的切线和法平面；曲面的切平面和法线；多元函数的极值和条件极值；多元函数的最大值、最小值及其简单应用。</w:t>
            </w:r>
          </w:p>
          <w:p w14:paraId="276E0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6、多元函数积分学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10%）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二重积分与三重积分的概念、性质、计算和应用；两类曲线积分的概念、性质及计算；两类曲线积分的关系；格林（</w:t>
            </w:r>
            <w:r>
              <w:rPr>
                <w:color w:val="000000"/>
                <w:kern w:val="0"/>
                <w:szCs w:val="21"/>
                <w:lang w:bidi="ar"/>
              </w:rPr>
              <w:t>Green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）公式；平面曲线积分与路径无关的条件；二元函数全微分的原函数；两类曲面积分的概念、性质及计算；两类曲面积分的关系；高斯（</w:t>
            </w:r>
            <w:r>
              <w:rPr>
                <w:color w:val="000000"/>
                <w:kern w:val="0"/>
                <w:szCs w:val="21"/>
                <w:lang w:bidi="ar"/>
              </w:rPr>
              <w:t>Gauss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）公式；曲线积分和曲面积分的应用。</w:t>
            </w:r>
          </w:p>
          <w:p w14:paraId="3CCBF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7、无穷级数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6.7%）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常数项级数的收敛与发散的概念；收敛级数的和的概念；级数的基本性质与 收敛的必要条件；几何级数与</w:t>
            </w:r>
            <w:r>
              <w:rPr>
                <w:rFonts w:hint="eastAsia" w:ascii="宋体" w:hAnsi="宋体" w:cs="宋体"/>
                <w:i/>
                <w:iCs/>
                <w:color w:val="000000"/>
                <w:kern w:val="0"/>
                <w:szCs w:val="21"/>
                <w:lang w:bidi="ar"/>
              </w:rPr>
              <w:t>p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级数及其收敛性；正项级数收敛性的判别法；任意项级数的绝对收敛与条件收敛；函数项级数的收敛域与和函数的概念；幂级数及其收敛半径、收敛区间（指开区间）和收敛域；幂级数在其收敛区间内的基本性质；初等函数的幂级数展开式。</w:t>
            </w:r>
          </w:p>
          <w:p w14:paraId="18120D5A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常微分方程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10%）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常微分方程的基本概念；变量可分离的微分方程；齐次微分方程；一阶线性微分方程；伯努利（</w:t>
            </w:r>
            <w:r>
              <w:rPr>
                <w:color w:val="000000"/>
                <w:kern w:val="0"/>
                <w:szCs w:val="21"/>
                <w:lang w:bidi="ar"/>
              </w:rPr>
              <w:t>Bernoulli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）方程；全微分方程；可用简单的变量代换求解的某些微分方程；线性微分方程解的性质及解的结构定理。</w:t>
            </w:r>
          </w:p>
        </w:tc>
      </w:tr>
      <w:tr w14:paraId="525D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ECD3A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8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E5F2B">
            <w:pPr>
              <w:spacing w:line="360" w:lineRule="exac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高等数学 第八版套装 上下册 同济大学数学科学学院 高等教育出版社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 xml:space="preserve"> 2023.06</w:t>
            </w:r>
          </w:p>
        </w:tc>
      </w:tr>
    </w:tbl>
    <w:p w14:paraId="04B69CA8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学院</w:t>
      </w:r>
      <w:r>
        <w:rPr>
          <w:rFonts w:hint="eastAsia"/>
          <w:sz w:val="24"/>
        </w:rPr>
        <w:t>意见：</w:t>
      </w:r>
    </w:p>
    <w:p w14:paraId="36842C9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F2E68E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             </w:t>
      </w:r>
      <w:r>
        <w:rPr>
          <w:rFonts w:hint="eastAsia"/>
          <w:sz w:val="24"/>
          <w:lang w:val="en-US" w:eastAsia="zh-CN"/>
        </w:rPr>
        <w:t xml:space="preserve">         学院</w:t>
      </w:r>
      <w:r>
        <w:rPr>
          <w:rFonts w:hint="eastAsia"/>
          <w:sz w:val="24"/>
        </w:rPr>
        <w:t>负责人签字（盖章）：</w:t>
      </w:r>
    </w:p>
    <w:p w14:paraId="53AF771F">
      <w:pPr>
        <w:jc w:val="center"/>
        <w:rPr>
          <w:rFonts w:hint="eastAsia" w:ascii="隶书" w:eastAsia="隶书"/>
          <w:b/>
          <w:szCs w:val="21"/>
        </w:rPr>
      </w:pPr>
    </w:p>
    <w:p w14:paraId="51B239A4">
      <w:pPr>
        <w:jc w:val="center"/>
        <w:rPr>
          <w:rFonts w:hint="eastAsia" w:ascii="隶书" w:eastAsia="隶书"/>
          <w:b/>
          <w:szCs w:val="21"/>
          <w:lang w:val="en-US" w:eastAsia="zh-CN"/>
        </w:rPr>
      </w:pPr>
      <w:r>
        <w:rPr>
          <w:rFonts w:hint="eastAsia" w:eastAsia="隶书"/>
          <w:sz w:val="24"/>
          <w:lang w:val="en-US" w:eastAsia="zh-CN"/>
        </w:rPr>
        <w:t xml:space="preserve"> </w:t>
      </w:r>
    </w:p>
    <w:p w14:paraId="687C9E55">
      <w:pPr>
        <w:ind w:left="0" w:leftChars="0" w:firstLine="0" w:firstLineChars="0"/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6440A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8AD82"/>
    <w:multiLevelType w:val="singleLevel"/>
    <w:tmpl w:val="8018AD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7BB5316"/>
    <w:multiLevelType w:val="singleLevel"/>
    <w:tmpl w:val="A7BB5316"/>
    <w:lvl w:ilvl="0" w:tentative="0">
      <w:start w:val="8"/>
      <w:numFmt w:val="decimal"/>
      <w:suff w:val="nothing"/>
      <w:lvlText w:val="%1、"/>
      <w:lvlJc w:val="left"/>
    </w:lvl>
  </w:abstractNum>
  <w:abstractNum w:abstractNumId="2">
    <w:nsid w:val="06C738C1"/>
    <w:multiLevelType w:val="multilevel"/>
    <w:tmpl w:val="06C738C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2036745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2412303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2339</Words>
  <Characters>2414</Characters>
  <Lines>0</Lines>
  <Paragraphs>0</Paragraphs>
  <TotalTime>0</TotalTime>
  <ScaleCrop>false</ScaleCrop>
  <LinksUpToDate>false</LinksUpToDate>
  <CharactersWithSpaces>2584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2024-10-01T09:06:29Z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