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0F7DE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27213C8C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736"/>
        <w:gridCol w:w="3853"/>
      </w:tblGrid>
      <w:tr w14:paraId="73D7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9C6A7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F9D67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16FA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4A31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54A93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2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3C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信息与电气工程学院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B5DB1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b/>
                <w:szCs w:val="21"/>
              </w:rPr>
              <w:t>081100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1D0C5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b/>
                <w:szCs w:val="21"/>
              </w:rPr>
              <w:t>控制科学与工程</w:t>
            </w:r>
          </w:p>
        </w:tc>
        <w:tc>
          <w:tcPr>
            <w:tcW w:w="38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CEFE8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b/>
                <w:szCs w:val="21"/>
              </w:rPr>
              <w:t>822 自动控制原理</w:t>
            </w:r>
          </w:p>
        </w:tc>
      </w:tr>
      <w:tr w14:paraId="4F232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22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57CFC">
            <w:pPr>
              <w:wordWrap w:val="0"/>
              <w:spacing w:line="288" w:lineRule="auto"/>
              <w:jc w:val="center"/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4AC7B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b/>
                <w:szCs w:val="21"/>
              </w:rPr>
              <w:t>085406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E1B04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szCs w:val="21"/>
              </w:rPr>
              <w:t>控制工程</w:t>
            </w:r>
          </w:p>
        </w:tc>
        <w:tc>
          <w:tcPr>
            <w:tcW w:w="38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660E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DA83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5AD2A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FCCC6C">
            <w:pPr>
              <w:numPr>
                <w:ilvl w:val="0"/>
                <w:numId w:val="1"/>
              </w:numPr>
              <w:spacing w:line="400" w:lineRule="exact"/>
              <w:ind w:left="480" w:hanging="480" w:hangingChars="200"/>
              <w:rPr>
                <w:sz w:val="24"/>
              </w:rPr>
            </w:pPr>
            <w:r>
              <w:rPr>
                <w:rFonts w:hAnsi="宋体"/>
                <w:sz w:val="24"/>
              </w:rPr>
              <w:t>自动控制的一般概念</w:t>
            </w:r>
            <w:r>
              <w:rPr>
                <w:sz w:val="24"/>
              </w:rPr>
              <w:t xml:space="preserve">: </w:t>
            </w:r>
            <w:r>
              <w:rPr>
                <w:rFonts w:hAnsi="宋体"/>
                <w:sz w:val="24"/>
              </w:rPr>
              <w:t>自动控制与负反馈的概念，自动控制系统的基本构成，控制系统原理框图的绘制，自动控制系统的分类，对自动控制系统的基本要求。</w:t>
            </w:r>
          </w:p>
          <w:p w14:paraId="18DDA498">
            <w:pPr>
              <w:numPr>
                <w:ilvl w:val="0"/>
                <w:numId w:val="1"/>
              </w:numPr>
              <w:spacing w:line="400" w:lineRule="exact"/>
              <w:ind w:left="480" w:hanging="480" w:hangingChars="200"/>
              <w:rPr>
                <w:sz w:val="24"/>
              </w:rPr>
            </w:pPr>
            <w:r>
              <w:rPr>
                <w:rFonts w:hAnsi="宋体"/>
                <w:sz w:val="24"/>
              </w:rPr>
              <w:t>控制系统的数学模型：系统数学模型的基本概念，求解传递函数，控制系统结构图的绘制方法及等效变换，应用梅逊公式求解控制系统的传递函数。</w:t>
            </w:r>
          </w:p>
          <w:p w14:paraId="003EE336">
            <w:pPr>
              <w:numPr>
                <w:ilvl w:val="0"/>
                <w:numId w:val="1"/>
              </w:numPr>
              <w:spacing w:line="400" w:lineRule="exact"/>
              <w:ind w:left="480" w:hanging="480" w:hangingChars="200"/>
              <w:rPr>
                <w:sz w:val="24"/>
              </w:rPr>
            </w:pPr>
            <w:r>
              <w:rPr>
                <w:rFonts w:hAnsi="宋体"/>
                <w:sz w:val="24"/>
              </w:rPr>
              <w:t>线性系统的时域分析法：一阶二阶控制系统的响应及动态性能指标计算，主导极点与偶极子的概念及其应用，闭环零极点分布与系统特性之间的关系，基于</w:t>
            </w:r>
            <w:r>
              <w:rPr>
                <w:sz w:val="24"/>
              </w:rPr>
              <w:t>Routh</w:t>
            </w:r>
            <w:r>
              <w:rPr>
                <w:rFonts w:hAnsi="宋体"/>
                <w:sz w:val="24"/>
              </w:rPr>
              <w:t>稳定判据的系统稳定性分析方法，静态误差系数、系统型别、跟踪稳态误差的定义及计算，扰动引起的误差的定义与计算方法。</w:t>
            </w:r>
          </w:p>
          <w:p w14:paraId="6776CD6A">
            <w:pPr>
              <w:numPr>
                <w:ilvl w:val="0"/>
                <w:numId w:val="1"/>
              </w:numPr>
              <w:spacing w:line="400" w:lineRule="exact"/>
              <w:ind w:left="480" w:hanging="480" w:hangingChars="200"/>
              <w:rPr>
                <w:sz w:val="24"/>
              </w:rPr>
            </w:pPr>
            <w:r>
              <w:rPr>
                <w:rFonts w:hAnsi="宋体"/>
                <w:sz w:val="24"/>
              </w:rPr>
              <w:t>根轨迹的绘制及应用：根轨迹方程，幅值条件和相角条件；掌握绘制根轨迹图的基本法则；运用根轨迹进行系统分析。</w:t>
            </w:r>
          </w:p>
          <w:p w14:paraId="4A6DD988">
            <w:pPr>
              <w:numPr>
                <w:ilvl w:val="0"/>
                <w:numId w:val="1"/>
              </w:numPr>
              <w:spacing w:line="400" w:lineRule="exact"/>
              <w:ind w:left="480" w:hanging="480" w:hangingChars="200"/>
              <w:rPr>
                <w:sz w:val="24"/>
              </w:rPr>
            </w:pPr>
            <w:r>
              <w:rPr>
                <w:rFonts w:hAnsi="宋体"/>
                <w:sz w:val="24"/>
              </w:rPr>
              <w:t>线性系统的频域分析法：频率特性的定义；开环幅相频率特性曲线和开环对数频率特性曲线的绘制；利用对数幅频渐近曲线求系统传递函数，基于</w:t>
            </w:r>
            <w:r>
              <w:rPr>
                <w:sz w:val="24"/>
              </w:rPr>
              <w:t>Nyquist</w:t>
            </w:r>
            <w:r>
              <w:rPr>
                <w:rFonts w:hAnsi="宋体"/>
                <w:sz w:val="24"/>
              </w:rPr>
              <w:t>判据的系统稳定性分析，运用频率特性进行系统分析。</w:t>
            </w:r>
          </w:p>
          <w:p w14:paraId="3E92D22D">
            <w:pPr>
              <w:numPr>
                <w:ilvl w:val="0"/>
                <w:numId w:val="1"/>
              </w:numPr>
              <w:spacing w:line="400" w:lineRule="exact"/>
              <w:ind w:left="480" w:hanging="480" w:hangingChars="200"/>
              <w:rPr>
                <w:sz w:val="24"/>
              </w:rPr>
            </w:pPr>
            <w:r>
              <w:rPr>
                <w:rFonts w:hAnsi="宋体"/>
                <w:sz w:val="24"/>
              </w:rPr>
              <w:t>线性系统的校正方法：常用校正装置；用频率法确定串联超前校正、迟后校正和迟后</w:t>
            </w:r>
            <w:r>
              <w:rPr>
                <w:sz w:val="24"/>
              </w:rPr>
              <w:t>-</w:t>
            </w:r>
            <w:r>
              <w:rPr>
                <w:rFonts w:hAnsi="宋体"/>
                <w:sz w:val="24"/>
              </w:rPr>
              <w:t>超前校正装置的参数。</w:t>
            </w:r>
          </w:p>
          <w:p w14:paraId="2559E1AD">
            <w:pPr>
              <w:numPr>
                <w:ilvl w:val="0"/>
                <w:numId w:val="1"/>
              </w:numPr>
              <w:spacing w:line="400" w:lineRule="exact"/>
              <w:ind w:left="480" w:hanging="480" w:hangingChars="200"/>
              <w:rPr>
                <w:sz w:val="24"/>
              </w:rPr>
            </w:pPr>
            <w:r>
              <w:rPr>
                <w:rFonts w:hAnsi="宋体"/>
                <w:sz w:val="24"/>
              </w:rPr>
              <w:t>线性离散系统的分析与校正：离散系统的基本概念和特点，信号的采样</w:t>
            </w:r>
            <w:r>
              <w:rPr>
                <w:sz w:val="24"/>
              </w:rPr>
              <w:t>/</w:t>
            </w:r>
            <w:r>
              <w:rPr>
                <w:rFonts w:hAnsi="宋体"/>
                <w:sz w:val="24"/>
              </w:rPr>
              <w:t>保持，采样传递函数，离散系统分析的基本方法。</w:t>
            </w:r>
          </w:p>
          <w:p w14:paraId="347E122F">
            <w:pPr>
              <w:numPr>
                <w:ilvl w:val="0"/>
                <w:numId w:val="1"/>
              </w:numPr>
              <w:spacing w:line="400" w:lineRule="exact"/>
              <w:ind w:left="480" w:hanging="480" w:hangingChars="200"/>
              <w:rPr>
                <w:rFonts w:hint="eastAsia" w:ascii="宋体" w:hAnsi="宋体"/>
                <w:szCs w:val="21"/>
              </w:rPr>
            </w:pPr>
            <w:r>
              <w:rPr>
                <w:rFonts w:hAnsi="宋体"/>
                <w:sz w:val="24"/>
              </w:rPr>
              <w:t>非线性控制系统分析：常见非线性特性；相平面法、描述函数法等。</w:t>
            </w:r>
          </w:p>
        </w:tc>
      </w:tr>
      <w:tr w14:paraId="38746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37057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5FE385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Ansi="宋体"/>
                <w:sz w:val="24"/>
              </w:rPr>
              <w:t>《自动控制原理》</w:t>
            </w:r>
            <w:r>
              <w:rPr>
                <w:sz w:val="24"/>
              </w:rPr>
              <w:t>(</w:t>
            </w:r>
            <w:r>
              <w:rPr>
                <w:rFonts w:hAnsi="宋体"/>
                <w:sz w:val="24"/>
              </w:rPr>
              <w:t>第</w:t>
            </w:r>
            <w:r>
              <w:rPr>
                <w:sz w:val="24"/>
              </w:rPr>
              <w:t>7</w:t>
            </w:r>
            <w:r>
              <w:rPr>
                <w:rFonts w:hAnsi="宋体"/>
                <w:sz w:val="24"/>
              </w:rPr>
              <w:t>版</w:t>
            </w:r>
            <w:r>
              <w:rPr>
                <w:sz w:val="24"/>
              </w:rPr>
              <w:t>)</w:t>
            </w:r>
            <w:r>
              <w:rPr>
                <w:rFonts w:hAnsi="宋体"/>
                <w:sz w:val="24"/>
              </w:rPr>
              <w:t>，胡寿松主编，科学出版社</w:t>
            </w:r>
            <w:r>
              <w:rPr>
                <w:sz w:val="24"/>
              </w:rPr>
              <w:t>, 2019.02</w:t>
            </w:r>
          </w:p>
          <w:p w14:paraId="54466CB5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eastAsia="仿宋"/>
                <w:sz w:val="24"/>
              </w:rPr>
            </w:pPr>
            <w:r>
              <w:rPr>
                <w:rFonts w:hAnsi="宋体"/>
                <w:sz w:val="24"/>
              </w:rPr>
              <w:t>《自动控制原理》（第</w:t>
            </w:r>
            <w:r>
              <w:rPr>
                <w:sz w:val="24"/>
              </w:rPr>
              <w:t>2</w:t>
            </w:r>
            <w:r>
              <w:rPr>
                <w:rFonts w:hAnsi="宋体"/>
                <w:sz w:val="24"/>
              </w:rPr>
              <w:t>版），张爱民主编，清华大学出版社</w:t>
            </w:r>
          </w:p>
          <w:p w14:paraId="5BDB6E1A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eastAsia="仿宋"/>
                <w:sz w:val="24"/>
              </w:rPr>
            </w:pPr>
            <w:r>
              <w:rPr>
                <w:rFonts w:hAnsi="宋体"/>
                <w:sz w:val="24"/>
              </w:rPr>
              <w:t>《自动控制原理》，</w:t>
            </w:r>
            <w:r>
              <w:rPr>
                <w:rFonts w:hint="eastAsia" w:hAnsi="宋体"/>
                <w:sz w:val="24"/>
              </w:rPr>
              <w:t>王燕舞</w:t>
            </w:r>
            <w:r>
              <w:rPr>
                <w:rFonts w:hAnsi="宋体"/>
                <w:sz w:val="24"/>
              </w:rPr>
              <w:t>主编，</w:t>
            </w:r>
            <w:r>
              <w:rPr>
                <w:rFonts w:hint="eastAsia" w:hAnsi="宋体"/>
                <w:sz w:val="24"/>
              </w:rPr>
              <w:t>高等教育</w:t>
            </w:r>
            <w:r>
              <w:rPr>
                <w:rFonts w:hAnsi="宋体"/>
                <w:sz w:val="24"/>
              </w:rPr>
              <w:t>出版社</w:t>
            </w:r>
          </w:p>
        </w:tc>
      </w:tr>
    </w:tbl>
    <w:p w14:paraId="34F67451">
      <w:pPr>
        <w:spacing w:before="312" w:beforeLines="100"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5C969B9E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495F17F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57C20EEA">
      <w:pPr>
        <w:jc w:val="center"/>
        <w:rPr>
          <w:rFonts w:hint="eastAsia" w:ascii="隶书" w:eastAsia="隶书"/>
          <w:b/>
          <w:szCs w:val="21"/>
        </w:rPr>
      </w:pPr>
    </w:p>
    <w:p w14:paraId="05EC5937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725C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7F4B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A58B6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A2997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7670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75E3D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B02F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信息与电气工程学院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345A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085401</w:t>
            </w:r>
          </w:p>
          <w:p w14:paraId="66B74C9A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085801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2C76D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新一代电子信息技术</w:t>
            </w:r>
          </w:p>
          <w:p w14:paraId="708227E5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电气工程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CC948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823电路理论</w:t>
            </w:r>
          </w:p>
        </w:tc>
      </w:tr>
      <w:tr w14:paraId="731A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378AC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1E9D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电路模型和电路定律</w:t>
            </w:r>
          </w:p>
          <w:p w14:paraId="2883686C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电阻电路的等效变换</w:t>
            </w:r>
          </w:p>
          <w:p w14:paraId="39540C5D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电阻电路的一般分析方法</w:t>
            </w:r>
          </w:p>
          <w:p w14:paraId="3EB0CAEF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电路定理</w:t>
            </w:r>
          </w:p>
          <w:p w14:paraId="488676BE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运算放大器电路</w:t>
            </w:r>
          </w:p>
          <w:p w14:paraId="71EFB68E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储能元件</w:t>
            </w:r>
          </w:p>
          <w:p w14:paraId="3B14823B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动态电路的时域分析</w:t>
            </w:r>
          </w:p>
          <w:p w14:paraId="1188A357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相量法</w:t>
            </w:r>
          </w:p>
          <w:p w14:paraId="6CE5FF62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正弦稳态电路分析</w:t>
            </w:r>
          </w:p>
          <w:p w14:paraId="76FD5A4C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耦合电感电路</w:t>
            </w:r>
          </w:p>
          <w:p w14:paraId="154A7FB6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电路的频率响应</w:t>
            </w:r>
          </w:p>
          <w:p w14:paraId="52FB9347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三相电路</w:t>
            </w:r>
          </w:p>
          <w:p w14:paraId="5F2123D5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非正弦周期电路</w:t>
            </w:r>
          </w:p>
          <w:p w14:paraId="1FE64406">
            <w:pPr>
              <w:spacing w:line="360" w:lineRule="exact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</w:tc>
      </w:tr>
      <w:tr w14:paraId="2E05B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4F3EB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117C7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邱关源编著，《电路》（第5版），高等教育出版社，2006年</w:t>
            </w:r>
          </w:p>
        </w:tc>
      </w:tr>
    </w:tbl>
    <w:p w14:paraId="685F97FD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6B8E1AF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CE8725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6ABCD57C">
      <w:pPr>
        <w:jc w:val="center"/>
        <w:rPr>
          <w:rFonts w:hint="eastAsia" w:ascii="隶书" w:eastAsia="隶书"/>
          <w:b/>
          <w:szCs w:val="21"/>
        </w:rPr>
      </w:pPr>
    </w:p>
    <w:p w14:paraId="1854FF83">
      <w:pPr>
        <w:ind w:left="0" w:leftChars="0" w:firstLine="0" w:firstLineChars="0"/>
      </w:pP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3A507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31556"/>
    <w:multiLevelType w:val="multilevel"/>
    <w:tmpl w:val="1793155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542491"/>
    <w:multiLevelType w:val="multilevel"/>
    <w:tmpl w:val="6C542491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7705CE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2024-09-30T08:35:50Z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